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59A" w:rsidRPr="001D6217" w:rsidRDefault="00C6259A" w:rsidP="00C6259A">
      <w:pPr>
        <w:pStyle w:val="Title"/>
        <w:spacing w:after="0"/>
        <w:contextualSpacing w:val="0"/>
        <w:jc w:val="center"/>
        <w:rPr>
          <w:rFonts w:ascii="Times New Roman" w:hAnsi="Times New Roman"/>
          <w:b/>
          <w:color w:val="0070C0"/>
          <w:sz w:val="32"/>
          <w:szCs w:val="32"/>
          <w:lang w:val="ro-RO"/>
        </w:rPr>
      </w:pPr>
      <w:r w:rsidRPr="001D6217">
        <w:rPr>
          <w:rFonts w:ascii="Times New Roman" w:hAnsi="Times New Roman"/>
          <w:b/>
          <w:color w:val="0070C0"/>
          <w:sz w:val="32"/>
          <w:szCs w:val="32"/>
          <w:lang w:val="ro-RO"/>
        </w:rPr>
        <w:t>Programul Operațional Capacitate Administrativă 2014 - 2020</w:t>
      </w:r>
    </w:p>
    <w:p w:rsidR="00C6259A" w:rsidRPr="001D6217" w:rsidRDefault="00C6259A" w:rsidP="00C6259A">
      <w:pPr>
        <w:rPr>
          <w:lang w:val="ro-RO"/>
        </w:rPr>
      </w:pPr>
    </w:p>
    <w:p w:rsidR="00C6259A" w:rsidRDefault="00C6259A" w:rsidP="0010236C">
      <w:pPr>
        <w:tabs>
          <w:tab w:val="center" w:pos="601"/>
          <w:tab w:val="right" w:pos="8640"/>
        </w:tabs>
        <w:spacing w:after="0" w:line="240" w:lineRule="auto"/>
        <w:ind w:left="459" w:right="34"/>
        <w:jc w:val="right"/>
        <w:rPr>
          <w:rFonts w:ascii="Times New Roman" w:eastAsia="Calibri" w:hAnsi="Times New Roman" w:cs="Times New Roman"/>
          <w:bCs/>
          <w:sz w:val="24"/>
          <w:szCs w:val="24"/>
          <w:lang w:val="ro-RO"/>
        </w:rPr>
      </w:pPr>
    </w:p>
    <w:p w:rsidR="00C6259A" w:rsidRDefault="004C63F1" w:rsidP="00C6259A">
      <w:pPr>
        <w:pStyle w:val="Subtitle"/>
        <w:jc w:val="right"/>
        <w:rPr>
          <w:b/>
          <w:color w:val="0070C0"/>
          <w:sz w:val="32"/>
          <w:szCs w:val="32"/>
          <w:lang w:val="ro-RO"/>
        </w:rPr>
      </w:pPr>
      <w:r w:rsidRPr="00C6259A">
        <w:rPr>
          <w:b/>
          <w:color w:val="0070C0"/>
          <w:sz w:val="32"/>
          <w:szCs w:val="32"/>
          <w:lang w:val="ro-RO"/>
        </w:rPr>
        <w:t xml:space="preserve">Anexa </w:t>
      </w:r>
      <w:r w:rsidR="00C6259A" w:rsidRPr="00C6259A">
        <w:rPr>
          <w:b/>
          <w:color w:val="0070C0"/>
          <w:sz w:val="32"/>
          <w:szCs w:val="32"/>
          <w:lang w:val="ro-RO"/>
        </w:rPr>
        <w:t>2</w:t>
      </w:r>
      <w:r w:rsidRPr="00C6259A">
        <w:rPr>
          <w:b/>
          <w:color w:val="0070C0"/>
          <w:sz w:val="32"/>
          <w:szCs w:val="32"/>
          <w:lang w:val="ro-RO"/>
        </w:rPr>
        <w:t xml:space="preserve">  </w:t>
      </w:r>
    </w:p>
    <w:p w:rsidR="004C63F1" w:rsidRPr="00C6259A" w:rsidRDefault="00C6259A" w:rsidP="00C6259A">
      <w:pPr>
        <w:pStyle w:val="Subtitle"/>
        <w:jc w:val="center"/>
        <w:rPr>
          <w:b/>
          <w:color w:val="0070C0"/>
          <w:sz w:val="32"/>
          <w:szCs w:val="32"/>
          <w:lang w:val="ro-RO"/>
        </w:rPr>
      </w:pPr>
      <w:r w:rsidRPr="00C6259A">
        <w:rPr>
          <w:b/>
          <w:color w:val="0070C0"/>
          <w:sz w:val="32"/>
          <w:szCs w:val="32"/>
          <w:lang w:val="ro-RO"/>
        </w:rPr>
        <w:t xml:space="preserve">Informații suplimentare privind </w:t>
      </w:r>
      <w:r w:rsidR="004C63F1" w:rsidRPr="00C6259A">
        <w:rPr>
          <w:b/>
          <w:color w:val="0070C0"/>
          <w:sz w:val="32"/>
          <w:szCs w:val="32"/>
          <w:lang w:val="ro-RO"/>
        </w:rPr>
        <w:t>M</w:t>
      </w:r>
      <w:r w:rsidRPr="00C6259A">
        <w:rPr>
          <w:b/>
          <w:color w:val="0070C0"/>
          <w:sz w:val="32"/>
          <w:szCs w:val="32"/>
          <w:lang w:val="ro-RO"/>
        </w:rPr>
        <w:t xml:space="preserve">ecanismul de </w:t>
      </w:r>
      <w:r w:rsidR="004C63F1" w:rsidRPr="00C6259A">
        <w:rPr>
          <w:b/>
          <w:color w:val="0070C0"/>
          <w:sz w:val="32"/>
          <w:szCs w:val="32"/>
          <w:lang w:val="ro-RO"/>
        </w:rPr>
        <w:t>C</w:t>
      </w:r>
      <w:r w:rsidRPr="00C6259A">
        <w:rPr>
          <w:b/>
          <w:color w:val="0070C0"/>
          <w:sz w:val="32"/>
          <w:szCs w:val="32"/>
          <w:lang w:val="ro-RO"/>
        </w:rPr>
        <w:t xml:space="preserve">ooperare și </w:t>
      </w:r>
      <w:r w:rsidR="004C63F1" w:rsidRPr="00C6259A">
        <w:rPr>
          <w:b/>
          <w:color w:val="0070C0"/>
          <w:sz w:val="32"/>
          <w:szCs w:val="32"/>
          <w:lang w:val="ro-RO"/>
        </w:rPr>
        <w:t>V</w:t>
      </w:r>
      <w:r w:rsidRPr="00C6259A">
        <w:rPr>
          <w:b/>
          <w:color w:val="0070C0"/>
          <w:sz w:val="32"/>
          <w:szCs w:val="32"/>
          <w:lang w:val="ro-RO"/>
        </w:rPr>
        <w:t>erificare</w:t>
      </w:r>
    </w:p>
    <w:p w:rsidR="00975456" w:rsidRPr="004C63F1" w:rsidRDefault="00975456" w:rsidP="0010236C">
      <w:pPr>
        <w:tabs>
          <w:tab w:val="center" w:pos="601"/>
          <w:tab w:val="right" w:pos="8640"/>
        </w:tabs>
        <w:spacing w:after="0" w:line="240" w:lineRule="auto"/>
        <w:ind w:left="459" w:right="34"/>
        <w:jc w:val="right"/>
        <w:rPr>
          <w:rFonts w:ascii="Times New Roman" w:eastAsia="Calibri" w:hAnsi="Times New Roman" w:cs="Times New Roman"/>
          <w:bCs/>
          <w:sz w:val="24"/>
          <w:szCs w:val="24"/>
          <w:lang w:val="ro-RO"/>
        </w:rPr>
      </w:pPr>
    </w:p>
    <w:p w:rsidR="004C63F1" w:rsidRPr="004C63F1" w:rsidRDefault="004C63F1" w:rsidP="0010236C">
      <w:pPr>
        <w:tabs>
          <w:tab w:val="center" w:pos="601"/>
          <w:tab w:val="right" w:pos="8640"/>
        </w:tabs>
        <w:spacing w:after="0" w:line="240" w:lineRule="auto"/>
        <w:ind w:left="459" w:right="34"/>
        <w:jc w:val="both"/>
        <w:rPr>
          <w:rFonts w:ascii="Times New Roman" w:eastAsia="Calibri" w:hAnsi="Times New Roman" w:cs="Times New Roman"/>
          <w:bCs/>
          <w:i/>
          <w:sz w:val="24"/>
          <w:szCs w:val="24"/>
          <w:lang w:val="ro-RO"/>
        </w:rPr>
      </w:pPr>
      <w:r w:rsidRPr="004C63F1">
        <w:rPr>
          <w:rFonts w:ascii="Times New Roman" w:eastAsia="Calibri" w:hAnsi="Times New Roman" w:cs="Times New Roman"/>
          <w:bCs/>
          <w:sz w:val="24"/>
          <w:szCs w:val="24"/>
          <w:lang w:val="ro-RO"/>
        </w:rPr>
        <w:t>O</w:t>
      </w:r>
      <w:r w:rsidR="006F5297">
        <w:rPr>
          <w:rFonts w:ascii="Times New Roman" w:eastAsia="Calibri" w:hAnsi="Times New Roman" w:cs="Times New Roman"/>
          <w:bCs/>
          <w:sz w:val="24"/>
          <w:szCs w:val="24"/>
          <w:lang w:val="ro-RO"/>
        </w:rPr>
        <w:t xml:space="preserve">biectiul </w:t>
      </w:r>
      <w:r w:rsidRPr="004C63F1">
        <w:rPr>
          <w:rFonts w:ascii="Times New Roman" w:eastAsia="Calibri" w:hAnsi="Times New Roman" w:cs="Times New Roman"/>
          <w:bCs/>
          <w:sz w:val="24"/>
          <w:szCs w:val="24"/>
          <w:lang w:val="ro-RO"/>
        </w:rPr>
        <w:t>S</w:t>
      </w:r>
      <w:r w:rsidR="006F5297">
        <w:rPr>
          <w:rFonts w:ascii="Times New Roman" w:eastAsia="Calibri" w:hAnsi="Times New Roman" w:cs="Times New Roman"/>
          <w:bCs/>
          <w:sz w:val="24"/>
          <w:szCs w:val="24"/>
          <w:lang w:val="ro-RO"/>
        </w:rPr>
        <w:t>pecific</w:t>
      </w:r>
      <w:r w:rsidRPr="004C63F1">
        <w:rPr>
          <w:rFonts w:ascii="Times New Roman" w:eastAsia="Calibri" w:hAnsi="Times New Roman" w:cs="Times New Roman"/>
          <w:bCs/>
          <w:sz w:val="24"/>
          <w:szCs w:val="24"/>
          <w:lang w:val="ro-RO"/>
        </w:rPr>
        <w:t xml:space="preserve"> 1.3 </w:t>
      </w:r>
      <w:r w:rsidR="006F5297" w:rsidRPr="006F5297">
        <w:rPr>
          <w:rFonts w:ascii="Times New Roman" w:eastAsia="Calibri" w:hAnsi="Times New Roman" w:cs="Times New Roman"/>
          <w:bCs/>
          <w:i/>
          <w:sz w:val="24"/>
          <w:szCs w:val="24"/>
          <w:lang w:val="ro-RO"/>
        </w:rPr>
        <w:t>Dezvoltarea și implementarea de sisteme și instrumente moderne și eficiente de management la nivelul instituțiilor din sistemului judiciar</w:t>
      </w:r>
      <w:r w:rsidRPr="004C63F1">
        <w:rPr>
          <w:rFonts w:ascii="Times New Roman" w:eastAsia="Calibri" w:hAnsi="Times New Roman" w:cs="Times New Roman"/>
          <w:bCs/>
          <w:i/>
          <w:sz w:val="24"/>
          <w:szCs w:val="24"/>
          <w:lang w:val="ro-RO"/>
        </w:rPr>
        <w:t xml:space="preserve"> </w:t>
      </w:r>
      <w:r w:rsidRPr="004C63F1">
        <w:rPr>
          <w:rFonts w:ascii="Times New Roman" w:eastAsia="Calibri" w:hAnsi="Times New Roman" w:cs="Times New Roman"/>
          <w:bCs/>
          <w:sz w:val="24"/>
          <w:szCs w:val="24"/>
          <w:lang w:val="ro-RO"/>
        </w:rPr>
        <w:t>răspunde următoarelor recomandări MCV cuprinse în ultimul raport cu privire la reforma sistemului judiciar, și care se regăsesc în măsurile din proiectul Strategiei de dezvoltare a sistemului judiciar:</w:t>
      </w:r>
    </w:p>
    <w:p w:rsidR="004C63F1" w:rsidRPr="004C63F1" w:rsidRDefault="004C63F1" w:rsidP="0010236C">
      <w:pPr>
        <w:numPr>
          <w:ilvl w:val="1"/>
          <w:numId w:val="2"/>
        </w:numPr>
        <w:tabs>
          <w:tab w:val="center" w:pos="1026"/>
          <w:tab w:val="right" w:pos="1310"/>
        </w:tabs>
        <w:spacing w:after="0" w:line="240" w:lineRule="auto"/>
        <w:ind w:left="459" w:right="34" w:firstLine="426"/>
        <w:jc w:val="both"/>
        <w:rPr>
          <w:rFonts w:ascii="Times New Roman" w:eastAsia="Calibri" w:hAnsi="Times New Roman" w:cs="Times New Roman"/>
          <w:bCs/>
          <w:sz w:val="24"/>
          <w:szCs w:val="24"/>
          <w:lang w:val="ro-RO"/>
        </w:rPr>
      </w:pPr>
      <w:r w:rsidRPr="004C63F1">
        <w:rPr>
          <w:rFonts w:ascii="Times New Roman" w:eastAsia="Calibri" w:hAnsi="Times New Roman" w:cs="Times New Roman"/>
          <w:bCs/>
          <w:sz w:val="24"/>
          <w:szCs w:val="24"/>
          <w:lang w:val="ro-RO"/>
        </w:rPr>
        <w:t xml:space="preserve">„să accelereze găsirea unei soluții la problemele generate de volumul de lucru și să adopte măsurile legislative necesare pentru restructurarea sistemului de instanțe” (rec. 2.1 din Raport MCV); </w:t>
      </w:r>
    </w:p>
    <w:p w:rsidR="004C63F1" w:rsidRPr="004C63F1" w:rsidRDefault="004C63F1" w:rsidP="0010236C">
      <w:pPr>
        <w:numPr>
          <w:ilvl w:val="1"/>
          <w:numId w:val="2"/>
        </w:numPr>
        <w:tabs>
          <w:tab w:val="center" w:pos="1026"/>
          <w:tab w:val="right" w:pos="1310"/>
        </w:tabs>
        <w:spacing w:after="0" w:line="240" w:lineRule="auto"/>
        <w:ind w:left="459" w:right="34" w:firstLine="426"/>
        <w:jc w:val="both"/>
        <w:rPr>
          <w:rFonts w:ascii="Times New Roman" w:eastAsia="Calibri" w:hAnsi="Times New Roman" w:cs="Times New Roman"/>
          <w:bCs/>
          <w:sz w:val="24"/>
          <w:szCs w:val="24"/>
          <w:lang w:val="ro-RO"/>
        </w:rPr>
      </w:pPr>
      <w:r w:rsidRPr="004C63F1">
        <w:rPr>
          <w:rFonts w:ascii="Times New Roman" w:eastAsia="Calibri" w:hAnsi="Times New Roman" w:cs="Times New Roman"/>
          <w:bCs/>
          <w:sz w:val="24"/>
          <w:szCs w:val="24"/>
          <w:lang w:val="ro-RO"/>
        </w:rPr>
        <w:t xml:space="preserve">“să pună la dispoziția factorilor de conducere din sistemul judiciar instrumentele necesare de informare cu privire la funcționarea sistemului judiciar (instrumente de statistică, gestionarea cazurilor, sondaje în rândul utilizatorilor și sondaje în rândul angajaților), în vederea sporirii capacității de a adopta decizii în cunoștință de cauză și în vederea asigurării unor progrese demonstrabile” (rec. 2.2 din Raport MCV); </w:t>
      </w:r>
    </w:p>
    <w:p w:rsidR="004C63F1" w:rsidRPr="004C63F1" w:rsidRDefault="004C63F1" w:rsidP="0010236C">
      <w:pPr>
        <w:numPr>
          <w:ilvl w:val="1"/>
          <w:numId w:val="2"/>
        </w:numPr>
        <w:tabs>
          <w:tab w:val="center" w:pos="1026"/>
          <w:tab w:val="right" w:pos="1310"/>
        </w:tabs>
        <w:spacing w:after="0" w:line="240" w:lineRule="auto"/>
        <w:ind w:left="459" w:right="34" w:firstLine="426"/>
        <w:jc w:val="both"/>
        <w:rPr>
          <w:rFonts w:ascii="Times New Roman" w:eastAsia="Calibri" w:hAnsi="Times New Roman" w:cs="Times New Roman"/>
          <w:bCs/>
          <w:sz w:val="24"/>
          <w:szCs w:val="24"/>
          <w:lang w:val="ro-RO"/>
        </w:rPr>
      </w:pPr>
      <w:r w:rsidRPr="004C63F1">
        <w:rPr>
          <w:rFonts w:ascii="Times New Roman" w:eastAsia="Calibri" w:hAnsi="Times New Roman" w:cs="Times New Roman"/>
          <w:bCs/>
          <w:sz w:val="24"/>
          <w:szCs w:val="24"/>
          <w:lang w:val="ro-RO"/>
        </w:rPr>
        <w:t>să îmbunătățească respectarea hotărârilor judecătorești la toate nivelurile, pentru a se asigura executarea adecvată a hotărârilor judecătorești și a sancțiunilor financiare” (rec. 2.6 din Raport MCV)</w:t>
      </w:r>
    </w:p>
    <w:p w:rsidR="004C63F1" w:rsidRPr="004C63F1" w:rsidRDefault="004C63F1" w:rsidP="0010236C">
      <w:pPr>
        <w:autoSpaceDE w:val="0"/>
        <w:autoSpaceDN w:val="0"/>
        <w:adjustRightInd w:val="0"/>
        <w:spacing w:after="0" w:line="240" w:lineRule="auto"/>
        <w:ind w:firstLine="360"/>
        <w:jc w:val="both"/>
        <w:rPr>
          <w:rFonts w:ascii="Times New Roman" w:eastAsia="Calibri" w:hAnsi="Times New Roman" w:cs="Times New Roman"/>
          <w:bCs/>
          <w:sz w:val="24"/>
          <w:szCs w:val="24"/>
          <w:lang w:val="ro-RO"/>
        </w:rPr>
      </w:pPr>
      <w:r w:rsidRPr="004C63F1">
        <w:rPr>
          <w:rFonts w:ascii="Times New Roman" w:eastAsia="Calibri" w:hAnsi="Times New Roman" w:cs="Times New Roman"/>
          <w:bCs/>
          <w:sz w:val="24"/>
          <w:szCs w:val="24"/>
          <w:lang w:val="ro-RO"/>
        </w:rPr>
        <w:t xml:space="preserve">Totodată, rapoartele MCV din ultimii doi ani, cât și </w:t>
      </w:r>
      <w:r w:rsidR="006F5297" w:rsidRPr="006F5297">
        <w:rPr>
          <w:rFonts w:ascii="Times New Roman" w:eastAsia="Calibri" w:hAnsi="Times New Roman" w:cs="Times New Roman"/>
          <w:bCs/>
          <w:sz w:val="24"/>
          <w:szCs w:val="24"/>
          <w:lang w:val="ro-RO"/>
        </w:rPr>
        <w:t>Analiza Funcțională a sistemului judiciar (AFSJ)</w:t>
      </w:r>
      <w:r w:rsidR="006F5297">
        <w:rPr>
          <w:rFonts w:ascii="Times New Roman" w:eastAsia="Calibri" w:hAnsi="Times New Roman" w:cs="Times New Roman"/>
          <w:bCs/>
          <w:sz w:val="24"/>
          <w:szCs w:val="24"/>
          <w:lang w:val="ro-RO"/>
        </w:rPr>
        <w:t xml:space="preserve"> </w:t>
      </w:r>
      <w:r w:rsidRPr="004C63F1">
        <w:rPr>
          <w:rFonts w:ascii="Times New Roman" w:eastAsia="Calibri" w:hAnsi="Times New Roman" w:cs="Times New Roman"/>
          <w:bCs/>
          <w:sz w:val="24"/>
          <w:szCs w:val="24"/>
          <w:lang w:val="ro-RO"/>
        </w:rPr>
        <w:t>fac referire la alte acțiuni prevăzute în program, necesare pentru îmbunătățirea eficienței sistemului judiciar:</w:t>
      </w:r>
    </w:p>
    <w:p w:rsidR="004C63F1" w:rsidRPr="004C63F1" w:rsidRDefault="004C63F1" w:rsidP="0010236C">
      <w:pPr>
        <w:numPr>
          <w:ilvl w:val="1"/>
          <w:numId w:val="2"/>
        </w:numPr>
        <w:tabs>
          <w:tab w:val="center" w:pos="1026"/>
          <w:tab w:val="right" w:pos="1310"/>
        </w:tabs>
        <w:spacing w:after="0" w:line="240" w:lineRule="auto"/>
        <w:ind w:left="459" w:right="34" w:firstLine="426"/>
        <w:jc w:val="both"/>
        <w:rPr>
          <w:rFonts w:ascii="Times New Roman" w:eastAsia="Calibri" w:hAnsi="Times New Roman" w:cs="Times New Roman"/>
          <w:bCs/>
          <w:sz w:val="24"/>
          <w:szCs w:val="24"/>
          <w:lang w:val="ro-RO"/>
        </w:rPr>
      </w:pPr>
      <w:r w:rsidRPr="004C63F1">
        <w:rPr>
          <w:rFonts w:ascii="Times New Roman" w:eastAsia="Calibri" w:hAnsi="Times New Roman" w:cs="Times New Roman"/>
          <w:bCs/>
          <w:sz w:val="24"/>
          <w:szCs w:val="24"/>
          <w:lang w:val="ro-RO"/>
        </w:rPr>
        <w:t>implementarea unui sistem integrat de management strategic la nivelul sistemului judiciar (ex. metodologie de elaborare a analizelor diagnostic pe baza cărora să fie fundamentate deciziile și/sau documentele strategice)</w:t>
      </w:r>
      <w:r w:rsidRPr="004C63F1">
        <w:rPr>
          <w:rFonts w:ascii="Times New Roman" w:eastAsia="Calibri" w:hAnsi="Times New Roman" w:cs="Times New Roman"/>
          <w:bCs/>
          <w:sz w:val="24"/>
          <w:szCs w:val="24"/>
          <w:vertAlign w:val="superscript"/>
          <w:lang w:val="ro-RO"/>
        </w:rPr>
        <w:footnoteReference w:id="1"/>
      </w:r>
      <w:r w:rsidRPr="004C63F1">
        <w:rPr>
          <w:rFonts w:ascii="Times New Roman" w:eastAsia="Calibri" w:hAnsi="Times New Roman" w:cs="Times New Roman"/>
          <w:bCs/>
          <w:sz w:val="24"/>
          <w:szCs w:val="24"/>
          <w:lang w:val="ro-RO"/>
        </w:rPr>
        <w:t xml:space="preserve">; </w:t>
      </w:r>
    </w:p>
    <w:p w:rsidR="004C63F1" w:rsidRPr="004C63F1" w:rsidRDefault="004C63F1" w:rsidP="0010236C">
      <w:pPr>
        <w:numPr>
          <w:ilvl w:val="1"/>
          <w:numId w:val="2"/>
        </w:numPr>
        <w:tabs>
          <w:tab w:val="center" w:pos="1026"/>
          <w:tab w:val="right" w:pos="1310"/>
        </w:tabs>
        <w:spacing w:after="0" w:line="240" w:lineRule="auto"/>
        <w:ind w:left="459" w:right="34" w:firstLine="426"/>
        <w:jc w:val="both"/>
        <w:rPr>
          <w:rFonts w:ascii="Times New Roman" w:eastAsia="Calibri" w:hAnsi="Times New Roman" w:cs="Times New Roman"/>
          <w:bCs/>
          <w:sz w:val="24"/>
          <w:szCs w:val="24"/>
          <w:lang w:val="ro-RO"/>
        </w:rPr>
      </w:pPr>
      <w:r w:rsidRPr="004C63F1">
        <w:rPr>
          <w:rFonts w:ascii="Times New Roman" w:eastAsia="Calibri" w:hAnsi="Times New Roman" w:cs="Times New Roman"/>
          <w:bCs/>
          <w:sz w:val="24"/>
          <w:szCs w:val="24"/>
          <w:lang w:val="ro-RO"/>
        </w:rPr>
        <w:t>continuarea și dezvoltarea aspectelor legate de asigurarea eficienței activității instanțelor și de volumul optim de activitate a judecătorilor și grefierilor</w:t>
      </w:r>
      <w:r w:rsidRPr="004C63F1">
        <w:rPr>
          <w:rFonts w:ascii="Times New Roman" w:eastAsia="Calibri" w:hAnsi="Times New Roman" w:cs="Times New Roman"/>
          <w:bCs/>
          <w:sz w:val="24"/>
          <w:szCs w:val="24"/>
          <w:vertAlign w:val="superscript"/>
          <w:lang w:val="ro-RO"/>
        </w:rPr>
        <w:footnoteReference w:id="2"/>
      </w:r>
      <w:r w:rsidRPr="004C63F1">
        <w:rPr>
          <w:rFonts w:ascii="Times New Roman" w:eastAsia="Calibri" w:hAnsi="Times New Roman" w:cs="Times New Roman"/>
          <w:bCs/>
          <w:sz w:val="24"/>
          <w:szCs w:val="24"/>
          <w:lang w:val="ro-RO"/>
        </w:rPr>
        <w:t>;</w:t>
      </w:r>
    </w:p>
    <w:p w:rsidR="004C63F1" w:rsidRPr="004C63F1" w:rsidRDefault="004C63F1" w:rsidP="0010236C">
      <w:pPr>
        <w:numPr>
          <w:ilvl w:val="1"/>
          <w:numId w:val="2"/>
        </w:numPr>
        <w:tabs>
          <w:tab w:val="center" w:pos="1026"/>
          <w:tab w:val="right" w:pos="1310"/>
        </w:tabs>
        <w:spacing w:after="0" w:line="240" w:lineRule="auto"/>
        <w:ind w:left="459" w:right="34" w:firstLine="426"/>
        <w:jc w:val="both"/>
        <w:rPr>
          <w:rFonts w:ascii="Times New Roman" w:eastAsia="Calibri" w:hAnsi="Times New Roman" w:cs="Times New Roman"/>
          <w:bCs/>
          <w:sz w:val="24"/>
          <w:szCs w:val="24"/>
          <w:lang w:val="ro-RO"/>
        </w:rPr>
      </w:pPr>
      <w:r w:rsidRPr="004C63F1">
        <w:rPr>
          <w:rFonts w:ascii="Times New Roman" w:eastAsia="Calibri" w:hAnsi="Times New Roman" w:cs="Times New Roman"/>
          <w:bCs/>
          <w:sz w:val="24"/>
          <w:szCs w:val="24"/>
          <w:lang w:val="ro-RO"/>
        </w:rPr>
        <w:t>dezvoltarea și implementarea de sisteme de management integrat, module avansate de management organizațional (management strategic, management resurse umane, planificare bugetară etc.), însoțite de manuale, proceduri de lucru și metodologii specifice</w:t>
      </w:r>
      <w:r w:rsidRPr="004C63F1">
        <w:rPr>
          <w:rFonts w:ascii="Times New Roman" w:eastAsia="Calibri" w:hAnsi="Times New Roman" w:cs="Times New Roman"/>
          <w:bCs/>
          <w:sz w:val="24"/>
          <w:szCs w:val="24"/>
          <w:vertAlign w:val="superscript"/>
          <w:lang w:val="ro-RO"/>
        </w:rPr>
        <w:footnoteReference w:id="3"/>
      </w:r>
      <w:r w:rsidRPr="004C63F1">
        <w:rPr>
          <w:rFonts w:ascii="Times New Roman" w:eastAsia="Calibri" w:hAnsi="Times New Roman" w:cs="Times New Roman"/>
          <w:bCs/>
          <w:sz w:val="24"/>
          <w:szCs w:val="24"/>
          <w:lang w:val="ro-RO"/>
        </w:rPr>
        <w:t xml:space="preserve">; </w:t>
      </w:r>
    </w:p>
    <w:p w:rsidR="004C63F1" w:rsidRPr="004C63F1" w:rsidRDefault="004C63F1" w:rsidP="0010236C">
      <w:pPr>
        <w:numPr>
          <w:ilvl w:val="1"/>
          <w:numId w:val="2"/>
        </w:numPr>
        <w:tabs>
          <w:tab w:val="center" w:pos="1026"/>
          <w:tab w:val="right" w:pos="1310"/>
        </w:tabs>
        <w:spacing w:after="0" w:line="240" w:lineRule="auto"/>
        <w:ind w:left="459" w:right="34" w:firstLine="426"/>
        <w:jc w:val="both"/>
        <w:rPr>
          <w:rFonts w:ascii="Times New Roman" w:eastAsia="Calibri" w:hAnsi="Times New Roman" w:cs="Times New Roman"/>
          <w:bCs/>
          <w:sz w:val="24"/>
          <w:szCs w:val="24"/>
          <w:lang w:val="ro-RO"/>
        </w:rPr>
      </w:pPr>
      <w:r w:rsidRPr="004C63F1">
        <w:rPr>
          <w:rFonts w:ascii="Times New Roman" w:eastAsia="Calibri" w:hAnsi="Times New Roman" w:cs="Times New Roman"/>
          <w:bCs/>
          <w:sz w:val="24"/>
          <w:szCs w:val="24"/>
          <w:lang w:val="ro-RO"/>
        </w:rPr>
        <w:t>evaluarea modului de implementare a noilor coduri</w:t>
      </w:r>
      <w:r w:rsidRPr="004C63F1">
        <w:rPr>
          <w:rFonts w:ascii="Times New Roman" w:eastAsia="Calibri" w:hAnsi="Times New Roman" w:cs="Times New Roman"/>
          <w:bCs/>
          <w:sz w:val="24"/>
          <w:szCs w:val="24"/>
          <w:vertAlign w:val="superscript"/>
          <w:lang w:val="ro-RO"/>
        </w:rPr>
        <w:footnoteReference w:id="4"/>
      </w:r>
      <w:r w:rsidRPr="004C63F1">
        <w:rPr>
          <w:rFonts w:ascii="Times New Roman" w:eastAsia="Calibri" w:hAnsi="Times New Roman" w:cs="Times New Roman"/>
          <w:bCs/>
          <w:sz w:val="24"/>
          <w:szCs w:val="24"/>
          <w:lang w:val="ro-RO"/>
        </w:rPr>
        <w:t>;</w:t>
      </w:r>
    </w:p>
    <w:p w:rsidR="004C63F1" w:rsidRPr="004C63F1" w:rsidRDefault="004C63F1" w:rsidP="0010236C">
      <w:pPr>
        <w:numPr>
          <w:ilvl w:val="1"/>
          <w:numId w:val="2"/>
        </w:numPr>
        <w:tabs>
          <w:tab w:val="center" w:pos="1026"/>
          <w:tab w:val="right" w:pos="1310"/>
        </w:tabs>
        <w:spacing w:after="0" w:line="240" w:lineRule="auto"/>
        <w:ind w:left="459" w:right="34" w:firstLine="426"/>
        <w:jc w:val="both"/>
        <w:rPr>
          <w:rFonts w:ascii="Times New Roman" w:eastAsia="Calibri" w:hAnsi="Times New Roman" w:cs="Times New Roman"/>
          <w:bCs/>
          <w:sz w:val="24"/>
          <w:szCs w:val="24"/>
          <w:lang w:val="ro-RO"/>
        </w:rPr>
      </w:pPr>
      <w:r w:rsidRPr="004C63F1">
        <w:rPr>
          <w:rFonts w:ascii="Times New Roman" w:eastAsia="Calibri" w:hAnsi="Times New Roman" w:cs="Times New Roman"/>
          <w:bCs/>
          <w:sz w:val="24"/>
          <w:szCs w:val="24"/>
          <w:lang w:val="ro-RO"/>
        </w:rPr>
        <w:t>asigurarea unei utilizări eficiente a resurselor financiare de care dispune sistemul judiciar, inclusiv prin analize de tip raport cost/calitate</w:t>
      </w:r>
      <w:r w:rsidRPr="004C63F1">
        <w:rPr>
          <w:rFonts w:ascii="Times New Roman" w:eastAsia="Calibri" w:hAnsi="Times New Roman" w:cs="Times New Roman"/>
          <w:bCs/>
          <w:sz w:val="24"/>
          <w:szCs w:val="24"/>
          <w:vertAlign w:val="superscript"/>
          <w:lang w:val="ro-RO"/>
        </w:rPr>
        <w:footnoteReference w:id="5"/>
      </w:r>
      <w:r w:rsidRPr="004C63F1">
        <w:rPr>
          <w:rFonts w:ascii="Times New Roman" w:eastAsia="Calibri" w:hAnsi="Times New Roman" w:cs="Times New Roman"/>
          <w:bCs/>
          <w:sz w:val="24"/>
          <w:szCs w:val="24"/>
          <w:lang w:val="ro-RO"/>
        </w:rPr>
        <w:t xml:space="preserve">;  </w:t>
      </w:r>
    </w:p>
    <w:p w:rsidR="004C63F1" w:rsidRPr="004C63F1" w:rsidRDefault="004C63F1" w:rsidP="0010236C">
      <w:pPr>
        <w:numPr>
          <w:ilvl w:val="1"/>
          <w:numId w:val="2"/>
        </w:numPr>
        <w:tabs>
          <w:tab w:val="center" w:pos="1026"/>
          <w:tab w:val="right" w:pos="1310"/>
        </w:tabs>
        <w:spacing w:after="0" w:line="240" w:lineRule="auto"/>
        <w:ind w:left="459" w:right="34" w:firstLine="426"/>
        <w:jc w:val="both"/>
        <w:rPr>
          <w:rFonts w:ascii="Times New Roman" w:eastAsia="Calibri" w:hAnsi="Times New Roman" w:cs="Times New Roman"/>
          <w:bCs/>
          <w:sz w:val="24"/>
          <w:szCs w:val="24"/>
          <w:lang w:val="ro-RO"/>
        </w:rPr>
      </w:pPr>
      <w:r w:rsidRPr="004C63F1">
        <w:rPr>
          <w:rFonts w:ascii="Times New Roman" w:eastAsia="Calibri" w:hAnsi="Times New Roman" w:cs="Times New Roman"/>
          <w:bCs/>
          <w:sz w:val="24"/>
          <w:szCs w:val="24"/>
          <w:lang w:val="ro-RO"/>
        </w:rPr>
        <w:t>îmbunătățirea procesului de formare la nivelul sistemului judiciar (stabilirea unor indicatori de calitate, evaluarea curriculelor de formare în raport cu cerințele în materie și profilul magistratului și grefierului, îmbunătățirea procesului de identificare a nevoilor de formare etc.)</w:t>
      </w:r>
      <w:r w:rsidRPr="004C63F1">
        <w:rPr>
          <w:rFonts w:ascii="Times New Roman" w:eastAsia="Calibri" w:hAnsi="Times New Roman" w:cs="Times New Roman"/>
          <w:bCs/>
          <w:sz w:val="24"/>
          <w:szCs w:val="24"/>
          <w:vertAlign w:val="superscript"/>
          <w:lang w:val="ro-RO"/>
        </w:rPr>
        <w:footnoteReference w:id="6"/>
      </w:r>
      <w:r w:rsidRPr="004C63F1">
        <w:rPr>
          <w:rFonts w:ascii="Times New Roman" w:eastAsia="Calibri" w:hAnsi="Times New Roman" w:cs="Times New Roman"/>
          <w:bCs/>
          <w:sz w:val="24"/>
          <w:szCs w:val="24"/>
          <w:lang w:val="ro-RO"/>
        </w:rPr>
        <w:t>;</w:t>
      </w:r>
    </w:p>
    <w:p w:rsidR="004C63F1" w:rsidRPr="004C63F1" w:rsidRDefault="004C63F1" w:rsidP="0010236C">
      <w:pPr>
        <w:numPr>
          <w:ilvl w:val="1"/>
          <w:numId w:val="2"/>
        </w:numPr>
        <w:tabs>
          <w:tab w:val="center" w:pos="1026"/>
          <w:tab w:val="right" w:pos="1310"/>
        </w:tabs>
        <w:spacing w:after="0" w:line="240" w:lineRule="auto"/>
        <w:ind w:left="459" w:right="34" w:firstLine="426"/>
        <w:jc w:val="both"/>
        <w:rPr>
          <w:rFonts w:ascii="Times New Roman" w:eastAsia="Calibri" w:hAnsi="Times New Roman" w:cs="Times New Roman"/>
          <w:bCs/>
          <w:sz w:val="24"/>
          <w:szCs w:val="24"/>
          <w:lang w:val="ro-RO"/>
        </w:rPr>
      </w:pPr>
      <w:r w:rsidRPr="004C63F1">
        <w:rPr>
          <w:rFonts w:ascii="Times New Roman" w:eastAsia="Calibri" w:hAnsi="Times New Roman" w:cs="Times New Roman"/>
          <w:bCs/>
          <w:sz w:val="24"/>
          <w:szCs w:val="24"/>
          <w:lang w:val="ro-RO"/>
        </w:rPr>
        <w:t>consolidarea rolului IJ în buna funcționare a sistemului judiciar</w:t>
      </w:r>
      <w:r w:rsidRPr="004C63F1">
        <w:rPr>
          <w:rFonts w:ascii="Times New Roman" w:eastAsia="Calibri" w:hAnsi="Times New Roman" w:cs="Times New Roman"/>
          <w:bCs/>
          <w:sz w:val="24"/>
          <w:szCs w:val="24"/>
          <w:vertAlign w:val="superscript"/>
          <w:lang w:val="ro-RO"/>
        </w:rPr>
        <w:footnoteReference w:id="7"/>
      </w:r>
      <w:r w:rsidRPr="004C63F1">
        <w:rPr>
          <w:rFonts w:ascii="Times New Roman" w:eastAsia="Calibri" w:hAnsi="Times New Roman" w:cs="Times New Roman"/>
          <w:bCs/>
          <w:sz w:val="24"/>
          <w:szCs w:val="24"/>
          <w:lang w:val="ro-RO"/>
        </w:rPr>
        <w:t>;</w:t>
      </w:r>
    </w:p>
    <w:p w:rsidR="004C63F1" w:rsidRPr="004C63F1" w:rsidRDefault="004C63F1" w:rsidP="0010236C">
      <w:pPr>
        <w:numPr>
          <w:ilvl w:val="1"/>
          <w:numId w:val="2"/>
        </w:numPr>
        <w:tabs>
          <w:tab w:val="center" w:pos="1026"/>
          <w:tab w:val="right" w:pos="1310"/>
        </w:tabs>
        <w:spacing w:after="0" w:line="240" w:lineRule="auto"/>
        <w:ind w:left="459" w:right="34" w:firstLine="425"/>
        <w:jc w:val="both"/>
        <w:rPr>
          <w:rFonts w:ascii="Times New Roman" w:eastAsia="Calibri" w:hAnsi="Times New Roman" w:cs="Times New Roman"/>
          <w:bCs/>
          <w:sz w:val="24"/>
          <w:szCs w:val="24"/>
          <w:lang w:val="ro-RO"/>
        </w:rPr>
      </w:pPr>
      <w:r w:rsidRPr="004C63F1">
        <w:rPr>
          <w:rFonts w:ascii="Times New Roman" w:eastAsia="Calibri" w:hAnsi="Times New Roman" w:cs="Times New Roman"/>
          <w:bCs/>
          <w:sz w:val="24"/>
          <w:szCs w:val="24"/>
          <w:lang w:val="ro-RO"/>
        </w:rPr>
        <w:lastRenderedPageBreak/>
        <w:t>Dezvoltarea sistemului național de urmărire, administrare și recuperare a creanțelor provenite din infracțiuni, inclusiv prin dezvoltarea/actualizarea periodică a sistemului informatic naţional integrat de evidenţă a creanţelor; realizarea unor evaluări independente periodice; formarea profesională a personalului din instituțiile implicate în acest proces, bazată pe o abordare integrată, holistică și interdisciplinară</w:t>
      </w:r>
      <w:r w:rsidRPr="004C63F1">
        <w:rPr>
          <w:rFonts w:ascii="Times New Roman" w:eastAsia="Calibri" w:hAnsi="Times New Roman" w:cs="Times New Roman"/>
          <w:bCs/>
          <w:sz w:val="24"/>
          <w:szCs w:val="24"/>
          <w:vertAlign w:val="superscript"/>
          <w:lang w:val="ro-RO"/>
        </w:rPr>
        <w:footnoteReference w:id="8"/>
      </w:r>
      <w:r w:rsidRPr="004C63F1">
        <w:rPr>
          <w:rFonts w:ascii="Times New Roman" w:eastAsia="Calibri" w:hAnsi="Times New Roman" w:cs="Times New Roman"/>
          <w:bCs/>
          <w:sz w:val="24"/>
          <w:szCs w:val="24"/>
          <w:lang w:val="ro-RO"/>
        </w:rPr>
        <w:t>.</w:t>
      </w:r>
    </w:p>
    <w:p w:rsidR="004C63F1" w:rsidRPr="004C63F1" w:rsidRDefault="004C63F1" w:rsidP="0010236C">
      <w:pPr>
        <w:numPr>
          <w:ilvl w:val="1"/>
          <w:numId w:val="2"/>
        </w:numPr>
        <w:tabs>
          <w:tab w:val="center" w:pos="1026"/>
          <w:tab w:val="right" w:pos="1310"/>
        </w:tabs>
        <w:spacing w:after="0" w:line="240" w:lineRule="auto"/>
        <w:ind w:left="459" w:right="34" w:firstLine="426"/>
        <w:jc w:val="both"/>
        <w:rPr>
          <w:rFonts w:ascii="Times New Roman" w:eastAsia="Calibri" w:hAnsi="Times New Roman" w:cs="Times New Roman"/>
          <w:bCs/>
          <w:sz w:val="24"/>
          <w:szCs w:val="24"/>
          <w:lang w:val="ro-RO"/>
        </w:rPr>
      </w:pPr>
      <w:r w:rsidRPr="004C63F1">
        <w:rPr>
          <w:rFonts w:ascii="Times New Roman" w:eastAsia="Calibri" w:hAnsi="Times New Roman" w:cs="Times New Roman"/>
          <w:bCs/>
          <w:sz w:val="24"/>
          <w:szCs w:val="24"/>
          <w:lang w:val="ro-RO"/>
        </w:rPr>
        <w:t>dezvoltarea sistemelor IT pentru a spori eficiența sistemului judiciar</w:t>
      </w:r>
      <w:r w:rsidRPr="004C63F1">
        <w:rPr>
          <w:rFonts w:ascii="Times New Roman" w:eastAsia="Calibri" w:hAnsi="Times New Roman" w:cs="Times New Roman"/>
          <w:bCs/>
          <w:sz w:val="24"/>
          <w:szCs w:val="24"/>
          <w:vertAlign w:val="superscript"/>
          <w:lang w:val="ro-RO"/>
        </w:rPr>
        <w:footnoteReference w:id="9"/>
      </w:r>
      <w:r w:rsidRPr="004C63F1">
        <w:rPr>
          <w:rFonts w:ascii="Times New Roman" w:eastAsia="Calibri" w:hAnsi="Times New Roman" w:cs="Times New Roman"/>
          <w:bCs/>
          <w:sz w:val="24"/>
          <w:szCs w:val="24"/>
          <w:lang w:val="ro-RO"/>
        </w:rPr>
        <w:t xml:space="preserve"> </w:t>
      </w:r>
    </w:p>
    <w:p w:rsidR="004C63F1" w:rsidRPr="004C63F1" w:rsidRDefault="004C63F1" w:rsidP="0010236C">
      <w:pPr>
        <w:tabs>
          <w:tab w:val="center" w:pos="1026"/>
          <w:tab w:val="right" w:pos="1310"/>
        </w:tabs>
        <w:spacing w:after="0" w:line="240" w:lineRule="auto"/>
        <w:ind w:right="34"/>
        <w:jc w:val="both"/>
        <w:rPr>
          <w:rFonts w:ascii="Times New Roman" w:eastAsia="Calibri" w:hAnsi="Times New Roman" w:cs="Times New Roman"/>
          <w:bCs/>
          <w:sz w:val="24"/>
          <w:szCs w:val="24"/>
          <w:lang w:val="ro-RO"/>
        </w:rPr>
      </w:pPr>
    </w:p>
    <w:p w:rsidR="004C63F1" w:rsidRPr="004C63F1" w:rsidRDefault="004C63F1" w:rsidP="0010236C">
      <w:pPr>
        <w:tabs>
          <w:tab w:val="center" w:pos="743"/>
          <w:tab w:val="right" w:pos="8640"/>
        </w:tabs>
        <w:spacing w:after="0" w:line="240" w:lineRule="auto"/>
        <w:ind w:left="459" w:right="34"/>
        <w:jc w:val="both"/>
        <w:rPr>
          <w:rFonts w:ascii="Times New Roman" w:eastAsia="Calibri" w:hAnsi="Times New Roman" w:cs="Times New Roman"/>
          <w:bCs/>
          <w:sz w:val="24"/>
          <w:szCs w:val="24"/>
          <w:lang w:val="ro-RO"/>
        </w:rPr>
      </w:pPr>
      <w:r w:rsidRPr="004C63F1">
        <w:rPr>
          <w:rFonts w:ascii="Times New Roman" w:eastAsia="Calibri" w:hAnsi="Times New Roman" w:cs="Times New Roman"/>
          <w:bCs/>
          <w:sz w:val="24"/>
          <w:szCs w:val="24"/>
          <w:lang w:val="ro-RO"/>
        </w:rPr>
        <w:t>O</w:t>
      </w:r>
      <w:r>
        <w:rPr>
          <w:rFonts w:ascii="Times New Roman" w:eastAsia="Calibri" w:hAnsi="Times New Roman" w:cs="Times New Roman"/>
          <w:bCs/>
          <w:sz w:val="24"/>
          <w:szCs w:val="24"/>
          <w:lang w:val="ro-RO"/>
        </w:rPr>
        <w:t xml:space="preserve">biectivul </w:t>
      </w:r>
      <w:r w:rsidRPr="004C63F1">
        <w:rPr>
          <w:rFonts w:ascii="Times New Roman" w:eastAsia="Calibri" w:hAnsi="Times New Roman" w:cs="Times New Roman"/>
          <w:bCs/>
          <w:sz w:val="24"/>
          <w:szCs w:val="24"/>
          <w:lang w:val="ro-RO"/>
        </w:rPr>
        <w:t>S</w:t>
      </w:r>
      <w:r>
        <w:rPr>
          <w:rFonts w:ascii="Times New Roman" w:eastAsia="Calibri" w:hAnsi="Times New Roman" w:cs="Times New Roman"/>
          <w:bCs/>
          <w:sz w:val="24"/>
          <w:szCs w:val="24"/>
          <w:lang w:val="ro-RO"/>
        </w:rPr>
        <w:t>pecific</w:t>
      </w:r>
      <w:r w:rsidRPr="004C63F1">
        <w:rPr>
          <w:rFonts w:ascii="Times New Roman" w:eastAsia="Calibri" w:hAnsi="Times New Roman" w:cs="Times New Roman"/>
          <w:bCs/>
          <w:sz w:val="24"/>
          <w:szCs w:val="24"/>
          <w:lang w:val="ro-RO"/>
        </w:rPr>
        <w:t xml:space="preserve"> 2.3 </w:t>
      </w:r>
      <w:r w:rsidRPr="006F5297">
        <w:rPr>
          <w:rFonts w:ascii="Times New Roman" w:eastAsia="Calibri" w:hAnsi="Times New Roman" w:cs="Times New Roman"/>
          <w:bCs/>
          <w:i/>
          <w:sz w:val="24"/>
          <w:szCs w:val="24"/>
          <w:lang w:val="ro-RO"/>
        </w:rPr>
        <w:t>Îmbunătățirea accesului și a calității serviciilor furnizate de sistemul judiciar, inclusiv prin asigurarea unei transparențe și integrități sporite la nivelul acestuia</w:t>
      </w:r>
      <w:r w:rsidRPr="004C63F1">
        <w:rPr>
          <w:rFonts w:ascii="Times New Roman" w:eastAsia="Calibri" w:hAnsi="Times New Roman" w:cs="Times New Roman"/>
          <w:bCs/>
          <w:sz w:val="24"/>
          <w:szCs w:val="24"/>
          <w:lang w:val="ro-RO"/>
        </w:rPr>
        <w:t xml:space="preserve"> răspunde următoarelor recomandări MCV cuprinse în ultimul raport cu privire la reforma sistemului judiciar, și care se regăsesc în măsurile din proiectul Strategiei de dezvoltare a sistemului judiciar:</w:t>
      </w:r>
    </w:p>
    <w:p w:rsidR="004C63F1" w:rsidRPr="004C63F1" w:rsidRDefault="004C63F1" w:rsidP="0010236C">
      <w:pPr>
        <w:numPr>
          <w:ilvl w:val="1"/>
          <w:numId w:val="2"/>
        </w:numPr>
        <w:tabs>
          <w:tab w:val="center" w:pos="1026"/>
          <w:tab w:val="right" w:pos="1310"/>
        </w:tabs>
        <w:spacing w:after="0" w:line="240" w:lineRule="auto"/>
        <w:ind w:left="459" w:right="34" w:firstLine="426"/>
        <w:jc w:val="both"/>
        <w:rPr>
          <w:rFonts w:ascii="Times New Roman" w:eastAsia="Calibri" w:hAnsi="Times New Roman" w:cs="Times New Roman"/>
          <w:bCs/>
          <w:sz w:val="24"/>
          <w:szCs w:val="24"/>
          <w:lang w:val="ro-RO"/>
        </w:rPr>
      </w:pPr>
      <w:r w:rsidRPr="004C63F1">
        <w:rPr>
          <w:rFonts w:ascii="Times New Roman" w:eastAsia="Calibri" w:hAnsi="Times New Roman" w:cs="Times New Roman"/>
          <w:bCs/>
          <w:sz w:val="24"/>
          <w:szCs w:val="24"/>
          <w:lang w:val="ro-RO"/>
        </w:rPr>
        <w:t xml:space="preserve">“să asigure publicarea completă și în timp util pe internet și actualizarea continuă a tuturor hotărârilor și motivațiilor judecătorești” (rec. 2.3 din Raport MCV); </w:t>
      </w:r>
    </w:p>
    <w:p w:rsidR="004C63F1" w:rsidRPr="004C63F1" w:rsidRDefault="004C63F1" w:rsidP="0010236C">
      <w:pPr>
        <w:numPr>
          <w:ilvl w:val="1"/>
          <w:numId w:val="2"/>
        </w:numPr>
        <w:tabs>
          <w:tab w:val="center" w:pos="1026"/>
          <w:tab w:val="right" w:pos="1310"/>
        </w:tabs>
        <w:spacing w:after="0" w:line="240" w:lineRule="auto"/>
        <w:ind w:left="459" w:right="34" w:firstLine="426"/>
        <w:jc w:val="both"/>
        <w:rPr>
          <w:rFonts w:ascii="Times New Roman" w:eastAsia="Calibri" w:hAnsi="Times New Roman" w:cs="Times New Roman"/>
          <w:bCs/>
          <w:sz w:val="24"/>
          <w:szCs w:val="24"/>
          <w:lang w:val="ro-RO"/>
        </w:rPr>
      </w:pPr>
      <w:r w:rsidRPr="004C63F1">
        <w:rPr>
          <w:rFonts w:ascii="Times New Roman" w:eastAsia="Calibri" w:hAnsi="Times New Roman" w:cs="Times New Roman"/>
          <w:bCs/>
          <w:sz w:val="24"/>
          <w:szCs w:val="24"/>
          <w:lang w:val="ro-RO"/>
        </w:rPr>
        <w:t>“să asigure un proces în care să fie implicate toate profesiile juridice și administrația publică“ (rec. 2.4 din Raport MCV).</w:t>
      </w:r>
    </w:p>
    <w:p w:rsidR="004C63F1" w:rsidRPr="004C63F1" w:rsidRDefault="004C63F1" w:rsidP="0010236C">
      <w:pPr>
        <w:numPr>
          <w:ilvl w:val="1"/>
          <w:numId w:val="2"/>
        </w:numPr>
        <w:tabs>
          <w:tab w:val="center" w:pos="1026"/>
          <w:tab w:val="right" w:pos="1310"/>
        </w:tabs>
        <w:spacing w:after="0" w:line="240" w:lineRule="auto"/>
        <w:ind w:left="459" w:right="34" w:firstLine="426"/>
        <w:jc w:val="both"/>
        <w:rPr>
          <w:rFonts w:ascii="Times New Roman" w:eastAsia="Calibri" w:hAnsi="Times New Roman" w:cs="Times New Roman"/>
          <w:bCs/>
          <w:sz w:val="24"/>
          <w:szCs w:val="24"/>
          <w:lang w:val="ro-RO"/>
        </w:rPr>
      </w:pPr>
      <w:r w:rsidRPr="004C63F1">
        <w:rPr>
          <w:rFonts w:ascii="Times New Roman" w:eastAsia="Calibri" w:hAnsi="Times New Roman" w:cs="Times New Roman"/>
          <w:bCs/>
          <w:sz w:val="24"/>
          <w:szCs w:val="24"/>
          <w:lang w:val="ro-RO"/>
        </w:rPr>
        <w:t>“să îmbunătățească respectarea hotărârilor judecătorești la toate nivelurile, pentru a se asigura executarea“ (rec. 2.6 din Raport MCV).</w:t>
      </w:r>
    </w:p>
    <w:p w:rsidR="004C63F1" w:rsidRPr="004C63F1" w:rsidRDefault="004C63F1" w:rsidP="0010236C">
      <w:pPr>
        <w:autoSpaceDE w:val="0"/>
        <w:autoSpaceDN w:val="0"/>
        <w:adjustRightInd w:val="0"/>
        <w:spacing w:after="0" w:line="240" w:lineRule="auto"/>
        <w:ind w:firstLine="360"/>
        <w:jc w:val="both"/>
        <w:rPr>
          <w:rFonts w:ascii="Times New Roman" w:eastAsia="Calibri" w:hAnsi="Times New Roman" w:cs="Times New Roman"/>
          <w:bCs/>
          <w:color w:val="FF0000"/>
          <w:sz w:val="24"/>
          <w:szCs w:val="24"/>
          <w:lang w:val="ro-RO"/>
        </w:rPr>
      </w:pPr>
    </w:p>
    <w:p w:rsidR="004C63F1" w:rsidRPr="004C63F1" w:rsidRDefault="004C63F1" w:rsidP="0010236C">
      <w:pPr>
        <w:autoSpaceDE w:val="0"/>
        <w:autoSpaceDN w:val="0"/>
        <w:adjustRightInd w:val="0"/>
        <w:spacing w:after="0" w:line="240" w:lineRule="auto"/>
        <w:ind w:firstLine="360"/>
        <w:jc w:val="both"/>
        <w:rPr>
          <w:rFonts w:ascii="Times New Roman" w:eastAsia="Calibri" w:hAnsi="Times New Roman" w:cs="Times New Roman"/>
          <w:bCs/>
          <w:sz w:val="24"/>
          <w:szCs w:val="24"/>
          <w:lang w:val="ro-RO"/>
        </w:rPr>
      </w:pPr>
      <w:r w:rsidRPr="004C63F1">
        <w:rPr>
          <w:rFonts w:ascii="Times New Roman" w:eastAsia="Calibri" w:hAnsi="Times New Roman" w:cs="Times New Roman"/>
          <w:bCs/>
          <w:sz w:val="24"/>
          <w:szCs w:val="24"/>
          <w:lang w:val="ro-RO"/>
        </w:rPr>
        <w:t>Totodată, rapoartele MCV din ultimii doi ani, cât și Judicial Functional Review fac referire la acțiuni necesare pentru îmbunătățirea accesului și a calității serviciilor furnizate de sistemul judiciar precum:</w:t>
      </w:r>
    </w:p>
    <w:p w:rsidR="004C63F1" w:rsidRPr="004C63F1" w:rsidRDefault="004C63F1" w:rsidP="0010236C">
      <w:pPr>
        <w:numPr>
          <w:ilvl w:val="1"/>
          <w:numId w:val="2"/>
        </w:numPr>
        <w:tabs>
          <w:tab w:val="center" w:pos="1026"/>
          <w:tab w:val="right" w:pos="1310"/>
        </w:tabs>
        <w:spacing w:after="0" w:line="240" w:lineRule="auto"/>
        <w:ind w:left="459" w:right="34" w:firstLine="426"/>
        <w:jc w:val="both"/>
        <w:rPr>
          <w:rFonts w:ascii="Times New Roman" w:eastAsia="Calibri" w:hAnsi="Times New Roman" w:cs="Times New Roman"/>
          <w:bCs/>
          <w:sz w:val="24"/>
          <w:szCs w:val="24"/>
          <w:lang w:val="ro-RO"/>
        </w:rPr>
      </w:pPr>
      <w:r w:rsidRPr="004C63F1">
        <w:rPr>
          <w:rFonts w:ascii="Times New Roman" w:eastAsia="Calibri" w:hAnsi="Times New Roman" w:cs="Times New Roman"/>
          <w:bCs/>
          <w:sz w:val="24"/>
          <w:szCs w:val="24"/>
          <w:lang w:val="ro-RO"/>
        </w:rPr>
        <w:t>Formarea profesională a personalului din sistemul judiciar</w:t>
      </w:r>
      <w:r w:rsidRPr="004C63F1">
        <w:rPr>
          <w:rFonts w:ascii="Times New Roman" w:eastAsia="Calibri" w:hAnsi="Times New Roman" w:cs="Times New Roman"/>
          <w:bCs/>
          <w:sz w:val="24"/>
          <w:szCs w:val="24"/>
          <w:vertAlign w:val="superscript"/>
          <w:lang w:val="ro-RO"/>
        </w:rPr>
        <w:footnoteReference w:id="10"/>
      </w:r>
    </w:p>
    <w:p w:rsidR="004C63F1" w:rsidRPr="004C63F1" w:rsidRDefault="004C63F1" w:rsidP="0010236C">
      <w:pPr>
        <w:numPr>
          <w:ilvl w:val="1"/>
          <w:numId w:val="2"/>
        </w:numPr>
        <w:tabs>
          <w:tab w:val="center" w:pos="1026"/>
          <w:tab w:val="right" w:pos="1310"/>
        </w:tabs>
        <w:spacing w:after="0" w:line="240" w:lineRule="auto"/>
        <w:ind w:left="459" w:right="34" w:firstLine="426"/>
        <w:jc w:val="both"/>
        <w:rPr>
          <w:rFonts w:ascii="Times New Roman" w:eastAsia="Calibri" w:hAnsi="Times New Roman" w:cs="Times New Roman"/>
          <w:bCs/>
          <w:sz w:val="24"/>
          <w:szCs w:val="24"/>
          <w:lang w:val="ro-RO"/>
        </w:rPr>
      </w:pPr>
      <w:r w:rsidRPr="004C63F1">
        <w:rPr>
          <w:rFonts w:ascii="Times New Roman" w:eastAsia="Calibri" w:hAnsi="Times New Roman" w:cs="Times New Roman"/>
          <w:bCs/>
          <w:sz w:val="24"/>
          <w:szCs w:val="24"/>
          <w:lang w:val="ro-RO"/>
        </w:rPr>
        <w:t>Elaborarea de ghiduri, manuale, cărți, materiale, planuri de formare, instrumente IT pentru sprijinirea formării</w:t>
      </w:r>
      <w:r w:rsidRPr="004C63F1">
        <w:rPr>
          <w:rFonts w:ascii="Times New Roman" w:eastAsia="Calibri" w:hAnsi="Times New Roman" w:cs="Times New Roman"/>
          <w:bCs/>
          <w:sz w:val="24"/>
          <w:szCs w:val="24"/>
          <w:vertAlign w:val="superscript"/>
          <w:lang w:val="ro-RO"/>
        </w:rPr>
        <w:footnoteReference w:id="11"/>
      </w:r>
      <w:r w:rsidRPr="004C63F1">
        <w:rPr>
          <w:rFonts w:ascii="Times New Roman" w:eastAsia="Calibri" w:hAnsi="Times New Roman" w:cs="Times New Roman"/>
          <w:bCs/>
          <w:sz w:val="24"/>
          <w:szCs w:val="24"/>
          <w:lang w:val="ro-RO"/>
        </w:rPr>
        <w:t>.;</w:t>
      </w:r>
    </w:p>
    <w:p w:rsidR="004C63F1" w:rsidRPr="004C63F1" w:rsidRDefault="004C63F1" w:rsidP="0010236C">
      <w:pPr>
        <w:numPr>
          <w:ilvl w:val="1"/>
          <w:numId w:val="2"/>
        </w:numPr>
        <w:tabs>
          <w:tab w:val="center" w:pos="1026"/>
          <w:tab w:val="right" w:pos="1310"/>
        </w:tabs>
        <w:spacing w:after="0" w:line="240" w:lineRule="auto"/>
        <w:ind w:left="459" w:right="34" w:firstLine="426"/>
        <w:jc w:val="both"/>
        <w:rPr>
          <w:rFonts w:ascii="Times New Roman" w:eastAsia="Calibri" w:hAnsi="Times New Roman" w:cs="Times New Roman"/>
          <w:bCs/>
          <w:sz w:val="24"/>
          <w:szCs w:val="24"/>
          <w:lang w:val="ro-RO"/>
        </w:rPr>
      </w:pPr>
      <w:r w:rsidRPr="004C63F1">
        <w:rPr>
          <w:rFonts w:ascii="Times New Roman" w:eastAsia="Calibri" w:hAnsi="Times New Roman" w:cs="Times New Roman"/>
          <w:bCs/>
          <w:sz w:val="24"/>
          <w:szCs w:val="24"/>
          <w:lang w:val="ro-RO"/>
        </w:rPr>
        <w:t>Dezvoltarea sistemelor informatice în contextul creșterii accesibilității la serviciile furnizate în cadrul sistemului judiciar</w:t>
      </w:r>
      <w:r w:rsidRPr="004C63F1">
        <w:rPr>
          <w:rFonts w:ascii="Times New Roman" w:eastAsia="Calibri" w:hAnsi="Times New Roman" w:cs="Times New Roman"/>
          <w:bCs/>
          <w:sz w:val="24"/>
          <w:szCs w:val="24"/>
          <w:vertAlign w:val="superscript"/>
          <w:lang w:val="ro-RO"/>
        </w:rPr>
        <w:footnoteReference w:id="12"/>
      </w:r>
      <w:r w:rsidRPr="004C63F1">
        <w:rPr>
          <w:rFonts w:ascii="Times New Roman" w:eastAsia="Calibri" w:hAnsi="Times New Roman" w:cs="Times New Roman"/>
          <w:bCs/>
          <w:sz w:val="24"/>
          <w:szCs w:val="24"/>
          <w:lang w:val="ro-RO"/>
        </w:rPr>
        <w:t>;</w:t>
      </w:r>
    </w:p>
    <w:p w:rsidR="004C63F1" w:rsidRDefault="004C63F1" w:rsidP="0010236C">
      <w:pPr>
        <w:numPr>
          <w:ilvl w:val="1"/>
          <w:numId w:val="2"/>
        </w:numPr>
        <w:tabs>
          <w:tab w:val="center" w:pos="1026"/>
          <w:tab w:val="right" w:pos="1310"/>
        </w:tabs>
        <w:spacing w:after="0" w:line="240" w:lineRule="auto"/>
        <w:ind w:left="459" w:right="34" w:firstLine="426"/>
        <w:jc w:val="both"/>
        <w:rPr>
          <w:rFonts w:ascii="Times New Roman" w:eastAsia="Calibri" w:hAnsi="Times New Roman" w:cs="Times New Roman"/>
          <w:bCs/>
          <w:sz w:val="24"/>
          <w:szCs w:val="24"/>
          <w:lang w:val="ro-RO"/>
        </w:rPr>
      </w:pPr>
      <w:r w:rsidRPr="004C63F1">
        <w:rPr>
          <w:rFonts w:ascii="Times New Roman" w:eastAsia="Calibri" w:hAnsi="Times New Roman" w:cs="Times New Roman"/>
          <w:bCs/>
          <w:sz w:val="24"/>
          <w:szCs w:val="24"/>
          <w:lang w:val="ro-RO"/>
        </w:rPr>
        <w:t>Realizarea de sondaje/analize</w:t>
      </w:r>
      <w:r w:rsidRPr="004C63F1">
        <w:rPr>
          <w:rFonts w:ascii="Times New Roman" w:eastAsia="Calibri" w:hAnsi="Times New Roman" w:cs="Times New Roman"/>
          <w:bCs/>
          <w:sz w:val="24"/>
          <w:szCs w:val="24"/>
          <w:vertAlign w:val="superscript"/>
          <w:lang w:val="ro-RO"/>
        </w:rPr>
        <w:footnoteReference w:id="13"/>
      </w:r>
      <w:r w:rsidRPr="004C63F1">
        <w:rPr>
          <w:rFonts w:ascii="Times New Roman" w:eastAsia="Calibri" w:hAnsi="Times New Roman" w:cs="Times New Roman"/>
          <w:bCs/>
          <w:sz w:val="24"/>
          <w:szCs w:val="24"/>
          <w:vertAlign w:val="superscript"/>
          <w:lang w:val="ro-RO"/>
        </w:rPr>
        <w:t xml:space="preserve"> </w:t>
      </w:r>
    </w:p>
    <w:p w:rsidR="004C63F1" w:rsidRPr="004C63F1" w:rsidRDefault="004C63F1" w:rsidP="0010236C">
      <w:pPr>
        <w:numPr>
          <w:ilvl w:val="1"/>
          <w:numId w:val="2"/>
        </w:numPr>
        <w:tabs>
          <w:tab w:val="center" w:pos="1026"/>
          <w:tab w:val="right" w:pos="1310"/>
        </w:tabs>
        <w:spacing w:after="0" w:line="240" w:lineRule="auto"/>
        <w:ind w:left="459" w:right="34" w:firstLine="426"/>
        <w:jc w:val="both"/>
        <w:rPr>
          <w:rFonts w:ascii="Times New Roman" w:eastAsia="Calibri" w:hAnsi="Times New Roman" w:cs="Times New Roman"/>
          <w:bCs/>
          <w:sz w:val="24"/>
          <w:szCs w:val="24"/>
          <w:lang w:val="ro-RO"/>
        </w:rPr>
      </w:pPr>
      <w:r w:rsidRPr="004C63F1">
        <w:rPr>
          <w:rFonts w:ascii="Times New Roman" w:eastAsia="Calibri" w:hAnsi="Times New Roman" w:cs="Times New Roman"/>
          <w:bCs/>
          <w:sz w:val="24"/>
          <w:szCs w:val="24"/>
          <w:lang w:val="ro-RO"/>
        </w:rPr>
        <w:t>Îmbunătățirea activității de executare a hotărârilor judecătorești</w:t>
      </w:r>
      <w:r w:rsidRPr="004C63F1">
        <w:rPr>
          <w:rFonts w:ascii="Times New Roman" w:eastAsia="Calibri" w:hAnsi="Times New Roman" w:cs="Times New Roman"/>
          <w:bCs/>
          <w:sz w:val="24"/>
          <w:szCs w:val="24"/>
          <w:vertAlign w:val="superscript"/>
          <w:lang w:val="ro-RO"/>
        </w:rPr>
        <w:footnoteReference w:id="14"/>
      </w:r>
    </w:p>
    <w:p w:rsidR="004C63F1" w:rsidRPr="004C63F1" w:rsidRDefault="004C63F1" w:rsidP="0010236C">
      <w:pPr>
        <w:numPr>
          <w:ilvl w:val="1"/>
          <w:numId w:val="2"/>
        </w:numPr>
        <w:tabs>
          <w:tab w:val="center" w:pos="1026"/>
          <w:tab w:val="right" w:pos="1310"/>
        </w:tabs>
        <w:spacing w:after="0" w:line="240" w:lineRule="auto"/>
        <w:ind w:left="459" w:right="34" w:firstLine="426"/>
        <w:jc w:val="both"/>
        <w:rPr>
          <w:rFonts w:ascii="Times New Roman" w:eastAsia="Calibri" w:hAnsi="Times New Roman" w:cs="Times New Roman"/>
          <w:bCs/>
          <w:sz w:val="24"/>
          <w:szCs w:val="24"/>
          <w:lang w:val="ro-RO"/>
        </w:rPr>
      </w:pPr>
      <w:r w:rsidRPr="004C63F1">
        <w:rPr>
          <w:rFonts w:ascii="Times New Roman" w:eastAsia="Calibri" w:hAnsi="Times New Roman" w:cs="Times New Roman"/>
          <w:bCs/>
          <w:sz w:val="24"/>
          <w:szCs w:val="24"/>
          <w:lang w:val="ro-RO"/>
        </w:rPr>
        <w:t>Promovarea și consolidarea metodelor alternative de soluționare a litigiilor</w:t>
      </w:r>
      <w:r w:rsidRPr="004C63F1">
        <w:rPr>
          <w:rFonts w:ascii="Times New Roman" w:eastAsia="Calibri" w:hAnsi="Times New Roman" w:cs="Times New Roman"/>
          <w:bCs/>
          <w:sz w:val="24"/>
          <w:szCs w:val="24"/>
          <w:vertAlign w:val="superscript"/>
          <w:lang w:val="ro-RO"/>
        </w:rPr>
        <w:footnoteReference w:id="15"/>
      </w:r>
    </w:p>
    <w:p w:rsidR="004C63F1" w:rsidRPr="004C63F1" w:rsidRDefault="004C63F1" w:rsidP="0010236C">
      <w:pPr>
        <w:numPr>
          <w:ilvl w:val="1"/>
          <w:numId w:val="2"/>
        </w:numPr>
        <w:tabs>
          <w:tab w:val="center" w:pos="1026"/>
          <w:tab w:val="right" w:pos="1310"/>
        </w:tabs>
        <w:spacing w:after="0" w:line="240" w:lineRule="auto"/>
        <w:ind w:left="459" w:right="34" w:firstLine="426"/>
        <w:jc w:val="both"/>
        <w:rPr>
          <w:rFonts w:ascii="Times New Roman" w:eastAsia="Calibri" w:hAnsi="Times New Roman" w:cs="Times New Roman"/>
          <w:bCs/>
          <w:sz w:val="24"/>
          <w:szCs w:val="24"/>
          <w:lang w:val="ro-RO"/>
        </w:rPr>
      </w:pPr>
      <w:r w:rsidRPr="004C63F1">
        <w:rPr>
          <w:rFonts w:ascii="Times New Roman" w:eastAsia="Calibri" w:hAnsi="Times New Roman" w:cs="Times New Roman"/>
          <w:bCs/>
          <w:sz w:val="24"/>
          <w:szCs w:val="24"/>
          <w:lang w:val="ro-RO"/>
        </w:rPr>
        <w:t>Măsuri menite a spori transparența, etica și integritatea la nivelul sistemului judiciar</w:t>
      </w:r>
      <w:r w:rsidRPr="004C63F1">
        <w:rPr>
          <w:rFonts w:ascii="Times New Roman" w:eastAsia="Calibri" w:hAnsi="Times New Roman" w:cs="Times New Roman"/>
          <w:bCs/>
          <w:sz w:val="24"/>
          <w:szCs w:val="24"/>
          <w:vertAlign w:val="superscript"/>
          <w:lang w:val="ro-RO"/>
        </w:rPr>
        <w:footnoteReference w:id="16"/>
      </w:r>
    </w:p>
    <w:p w:rsidR="00B43CB5" w:rsidRPr="004C63F1" w:rsidRDefault="00B43CB5" w:rsidP="0010236C">
      <w:pPr>
        <w:spacing w:after="0" w:line="240" w:lineRule="auto"/>
        <w:rPr>
          <w:rFonts w:ascii="Times New Roman" w:hAnsi="Times New Roman" w:cs="Times New Roman"/>
        </w:rPr>
      </w:pPr>
    </w:p>
    <w:sectPr w:rsidR="00B43CB5" w:rsidRPr="004C63F1" w:rsidSect="004C63F1">
      <w:pgSz w:w="11906" w:h="16838" w:code="9"/>
      <w:pgMar w:top="1134"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3B40" w:rsidRDefault="00BD3B40" w:rsidP="004C63F1">
      <w:pPr>
        <w:spacing w:after="0" w:line="240" w:lineRule="auto"/>
      </w:pPr>
      <w:r>
        <w:separator/>
      </w:r>
    </w:p>
  </w:endnote>
  <w:endnote w:type="continuationSeparator" w:id="0">
    <w:p w:rsidR="00BD3B40" w:rsidRDefault="00BD3B40" w:rsidP="004C63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3B40" w:rsidRDefault="00BD3B40" w:rsidP="004C63F1">
      <w:pPr>
        <w:spacing w:after="0" w:line="240" w:lineRule="auto"/>
      </w:pPr>
      <w:r>
        <w:separator/>
      </w:r>
    </w:p>
  </w:footnote>
  <w:footnote w:type="continuationSeparator" w:id="0">
    <w:p w:rsidR="00BD3B40" w:rsidRDefault="00BD3B40" w:rsidP="004C63F1">
      <w:pPr>
        <w:spacing w:after="0" w:line="240" w:lineRule="auto"/>
      </w:pPr>
      <w:r>
        <w:continuationSeparator/>
      </w:r>
    </w:p>
  </w:footnote>
  <w:footnote w:id="1">
    <w:p w:rsidR="004C63F1" w:rsidRPr="004C63F1" w:rsidRDefault="004C63F1" w:rsidP="0010236C">
      <w:pPr>
        <w:pStyle w:val="FootnoteText"/>
        <w:spacing w:after="120" w:line="240" w:lineRule="auto"/>
        <w:rPr>
          <w:rFonts w:ascii="Times New Roman" w:hAnsi="Times New Roman"/>
          <w:sz w:val="16"/>
          <w:szCs w:val="16"/>
        </w:rPr>
      </w:pPr>
      <w:r w:rsidRPr="004C63F1">
        <w:rPr>
          <w:rStyle w:val="FootnoteReference"/>
          <w:rFonts w:ascii="Times New Roman" w:hAnsi="Times New Roman"/>
          <w:sz w:val="16"/>
          <w:szCs w:val="16"/>
        </w:rPr>
        <w:footnoteRef/>
      </w:r>
      <w:r w:rsidRPr="004C63F1">
        <w:rPr>
          <w:rFonts w:ascii="Times New Roman" w:hAnsi="Times New Roman"/>
          <w:sz w:val="16"/>
          <w:szCs w:val="16"/>
        </w:rPr>
        <w:t xml:space="preserve"> Recomandări privind sistemul integrat de management strategic au fost formulate în cadrul Judicial Functional Review (JFR) – Strategic Management (p. 8), la care Raportul MCV din 2012 (p. 9, 21) .Acestea au fost preluate în proiectul Strategiei de dezvoltare a sistemului judiciar 2014 – 2020 (Obiectiv A.1. Eficientizarea justiţiei ca serviciu public - Crearea și implementarea unui sistem unitar de management strategic la nivelul sistemului judiciar).</w:t>
      </w:r>
    </w:p>
  </w:footnote>
  <w:footnote w:id="2">
    <w:p w:rsidR="004C63F1" w:rsidRPr="004C63F1" w:rsidRDefault="004C63F1" w:rsidP="0010236C">
      <w:pPr>
        <w:pStyle w:val="FootnoteText"/>
        <w:spacing w:after="120" w:line="240" w:lineRule="auto"/>
        <w:rPr>
          <w:rFonts w:ascii="Times New Roman" w:hAnsi="Times New Roman"/>
          <w:sz w:val="16"/>
          <w:szCs w:val="16"/>
          <w:lang w:val="en-US"/>
        </w:rPr>
      </w:pPr>
      <w:r w:rsidRPr="004C63F1">
        <w:rPr>
          <w:rStyle w:val="FootnoteReference"/>
          <w:rFonts w:ascii="Times New Roman" w:hAnsi="Times New Roman"/>
          <w:sz w:val="16"/>
          <w:szCs w:val="16"/>
        </w:rPr>
        <w:footnoteRef/>
      </w:r>
      <w:r w:rsidRPr="004C63F1">
        <w:rPr>
          <w:rFonts w:ascii="Times New Roman" w:hAnsi="Times New Roman"/>
          <w:sz w:val="16"/>
          <w:szCs w:val="16"/>
        </w:rPr>
        <w:t xml:space="preserve"> Recomandări exprese în Raportul MCV din iulie 2012, p. 21  și în Raportul MCV din ianuarie 2014, p. 13 .</w:t>
      </w:r>
    </w:p>
  </w:footnote>
  <w:footnote w:id="3">
    <w:p w:rsidR="004C63F1" w:rsidRPr="004C63F1" w:rsidRDefault="004C63F1" w:rsidP="0010236C">
      <w:pPr>
        <w:pStyle w:val="FootnoteText"/>
        <w:spacing w:after="120" w:line="240" w:lineRule="auto"/>
        <w:rPr>
          <w:rFonts w:ascii="Times New Roman" w:hAnsi="Times New Roman"/>
          <w:sz w:val="16"/>
          <w:szCs w:val="16"/>
          <w:lang w:val="en-US"/>
        </w:rPr>
      </w:pPr>
      <w:r w:rsidRPr="004C63F1">
        <w:rPr>
          <w:rStyle w:val="FootnoteReference"/>
          <w:rFonts w:ascii="Times New Roman" w:hAnsi="Times New Roman"/>
          <w:sz w:val="16"/>
          <w:szCs w:val="16"/>
        </w:rPr>
        <w:footnoteRef/>
      </w:r>
      <w:r w:rsidRPr="004C63F1">
        <w:rPr>
          <w:rFonts w:ascii="Times New Roman" w:hAnsi="Times New Roman"/>
          <w:sz w:val="16"/>
          <w:szCs w:val="16"/>
        </w:rPr>
        <w:t xml:space="preserve"> Recomandare expresă în Raportul MCV din ianuarie 2014, p. 13.</w:t>
      </w:r>
    </w:p>
  </w:footnote>
  <w:footnote w:id="4">
    <w:p w:rsidR="004C63F1" w:rsidRPr="004C63F1" w:rsidRDefault="004C63F1" w:rsidP="0010236C">
      <w:pPr>
        <w:pStyle w:val="FootnoteText"/>
        <w:spacing w:after="120" w:line="240" w:lineRule="auto"/>
        <w:rPr>
          <w:rFonts w:ascii="Times New Roman" w:hAnsi="Times New Roman"/>
          <w:sz w:val="16"/>
          <w:szCs w:val="16"/>
          <w:lang w:val="en-US"/>
        </w:rPr>
      </w:pPr>
      <w:r w:rsidRPr="004C63F1">
        <w:rPr>
          <w:rStyle w:val="FootnoteReference"/>
          <w:rFonts w:ascii="Times New Roman" w:hAnsi="Times New Roman"/>
          <w:sz w:val="16"/>
          <w:szCs w:val="16"/>
        </w:rPr>
        <w:footnoteRef/>
      </w:r>
      <w:r w:rsidRPr="004C63F1">
        <w:rPr>
          <w:rFonts w:ascii="Times New Roman" w:hAnsi="Times New Roman"/>
          <w:sz w:val="16"/>
          <w:szCs w:val="16"/>
        </w:rPr>
        <w:t xml:space="preserve"> Recomandare expresă în Raportul MCV din iulie 2012, p. 21 ., Mențiune expresă în Raportul MCV din ianuarie 2014, p. 5 </w:t>
      </w:r>
    </w:p>
  </w:footnote>
  <w:footnote w:id="5">
    <w:p w:rsidR="004C63F1" w:rsidRPr="004C63F1" w:rsidRDefault="004C63F1" w:rsidP="0010236C">
      <w:pPr>
        <w:pStyle w:val="FootnoteText"/>
        <w:spacing w:after="120" w:line="240" w:lineRule="auto"/>
        <w:rPr>
          <w:rFonts w:ascii="Times New Roman" w:hAnsi="Times New Roman"/>
          <w:sz w:val="16"/>
          <w:szCs w:val="16"/>
          <w:lang w:val="en-US"/>
        </w:rPr>
      </w:pPr>
      <w:r w:rsidRPr="004C63F1">
        <w:rPr>
          <w:rStyle w:val="FootnoteReference"/>
          <w:rFonts w:ascii="Times New Roman" w:hAnsi="Times New Roman"/>
          <w:sz w:val="16"/>
          <w:szCs w:val="16"/>
        </w:rPr>
        <w:footnoteRef/>
      </w:r>
      <w:r w:rsidRPr="004C63F1">
        <w:rPr>
          <w:rFonts w:ascii="Times New Roman" w:hAnsi="Times New Roman"/>
          <w:sz w:val="16"/>
          <w:szCs w:val="16"/>
        </w:rPr>
        <w:t xml:space="preserve">  Mențiuni din Raportul MCV din iulie 2012, p. 8-9 și din Raportul MCV din ianuarie 2014, p. 7.</w:t>
      </w:r>
    </w:p>
  </w:footnote>
  <w:footnote w:id="6">
    <w:p w:rsidR="004C63F1" w:rsidRPr="004C63F1" w:rsidRDefault="004C63F1" w:rsidP="0010236C">
      <w:pPr>
        <w:pStyle w:val="FootnoteText"/>
        <w:spacing w:after="120" w:line="240" w:lineRule="auto"/>
        <w:rPr>
          <w:rFonts w:ascii="Times New Roman" w:hAnsi="Times New Roman"/>
          <w:sz w:val="16"/>
          <w:szCs w:val="16"/>
          <w:lang w:val="en-US"/>
        </w:rPr>
      </w:pPr>
      <w:r w:rsidRPr="004C63F1">
        <w:rPr>
          <w:rStyle w:val="FootnoteReference"/>
          <w:rFonts w:ascii="Times New Roman" w:hAnsi="Times New Roman"/>
          <w:sz w:val="16"/>
          <w:szCs w:val="16"/>
        </w:rPr>
        <w:footnoteRef/>
      </w:r>
      <w:r w:rsidRPr="004C63F1">
        <w:rPr>
          <w:rFonts w:ascii="Times New Roman" w:hAnsi="Times New Roman"/>
          <w:sz w:val="16"/>
          <w:szCs w:val="16"/>
        </w:rPr>
        <w:t xml:space="preserve"> Mențiuni privind formarea profesională a magistraților (capacitatea administrativă a INM) în documentul tehnic de însoțire a Raportului MCV din iulie 2012, p. 11  și în documentul tehnic de însoțire a Raportului MCV din ianuarie 2014, p. 16 . Mențiune expresă privind formarea grefierilor în documentul tehnic de însoțire a Raportului MCV din ianuarie 2014, p. 15 .</w:t>
      </w:r>
    </w:p>
  </w:footnote>
  <w:footnote w:id="7">
    <w:p w:rsidR="004C63F1" w:rsidRPr="004C63F1" w:rsidRDefault="004C63F1" w:rsidP="0010236C">
      <w:pPr>
        <w:pStyle w:val="FootnoteText"/>
        <w:spacing w:after="120" w:line="240" w:lineRule="auto"/>
        <w:rPr>
          <w:rFonts w:ascii="Times New Roman" w:hAnsi="Times New Roman"/>
          <w:sz w:val="16"/>
          <w:szCs w:val="16"/>
          <w:lang w:val="en-US"/>
        </w:rPr>
      </w:pPr>
      <w:r w:rsidRPr="004C63F1">
        <w:rPr>
          <w:rStyle w:val="FootnoteReference"/>
          <w:rFonts w:ascii="Times New Roman" w:hAnsi="Times New Roman"/>
          <w:sz w:val="16"/>
          <w:szCs w:val="16"/>
        </w:rPr>
        <w:footnoteRef/>
      </w:r>
      <w:r w:rsidRPr="004C63F1">
        <w:rPr>
          <w:rFonts w:ascii="Times New Roman" w:hAnsi="Times New Roman"/>
          <w:sz w:val="16"/>
          <w:szCs w:val="16"/>
        </w:rPr>
        <w:t xml:space="preserve">  Recomandare expresă privind Inspecția Judiciară Raport MCV iulie 2012, p. 21.</w:t>
      </w:r>
    </w:p>
  </w:footnote>
  <w:footnote w:id="8">
    <w:p w:rsidR="004C63F1" w:rsidRPr="004C63F1" w:rsidRDefault="004C63F1" w:rsidP="0010236C">
      <w:pPr>
        <w:pStyle w:val="FootnoteText"/>
        <w:spacing w:after="120" w:line="240" w:lineRule="auto"/>
        <w:rPr>
          <w:rFonts w:ascii="Times New Roman" w:hAnsi="Times New Roman"/>
          <w:sz w:val="16"/>
          <w:szCs w:val="16"/>
          <w:lang w:val="en-US"/>
        </w:rPr>
      </w:pPr>
      <w:r w:rsidRPr="004C63F1">
        <w:rPr>
          <w:rStyle w:val="FootnoteReference"/>
          <w:rFonts w:ascii="Times New Roman" w:hAnsi="Times New Roman"/>
          <w:sz w:val="16"/>
          <w:szCs w:val="16"/>
        </w:rPr>
        <w:footnoteRef/>
      </w:r>
      <w:r w:rsidRPr="004C63F1">
        <w:rPr>
          <w:rFonts w:ascii="Times New Roman" w:hAnsi="Times New Roman"/>
          <w:sz w:val="16"/>
          <w:szCs w:val="16"/>
        </w:rPr>
        <w:t xml:space="preserve">  Mențiune expresă privind creanțele provenite din infracțiuni și lipsa datelor statistice  în materie, în Raportul MCV din ianuarie 2013, p. 11./  Mențiune expresă privind recuperarea creanțelor și necesitatea utilizării confiscării extinse în Raportul MCV din ianuarie 2014, p. 10.</w:t>
      </w:r>
    </w:p>
  </w:footnote>
  <w:footnote w:id="9">
    <w:p w:rsidR="004C63F1" w:rsidRPr="004C63F1" w:rsidRDefault="004C63F1" w:rsidP="0010236C">
      <w:pPr>
        <w:pStyle w:val="FootnoteText"/>
        <w:spacing w:after="120" w:line="240" w:lineRule="auto"/>
        <w:rPr>
          <w:rFonts w:ascii="Times New Roman" w:hAnsi="Times New Roman"/>
          <w:sz w:val="16"/>
          <w:szCs w:val="16"/>
        </w:rPr>
      </w:pPr>
      <w:r w:rsidRPr="004C63F1">
        <w:rPr>
          <w:rStyle w:val="FootnoteReference"/>
          <w:rFonts w:ascii="Times New Roman" w:hAnsi="Times New Roman"/>
          <w:sz w:val="16"/>
          <w:szCs w:val="16"/>
        </w:rPr>
        <w:footnoteRef/>
      </w:r>
      <w:r w:rsidRPr="004C63F1">
        <w:rPr>
          <w:rFonts w:ascii="Times New Roman" w:hAnsi="Times New Roman"/>
          <w:sz w:val="16"/>
          <w:szCs w:val="16"/>
        </w:rPr>
        <w:t xml:space="preserve">  Recomandare JFR, p. 19,  Mențiune expresă privind recuperarea creanțelor și necesitatea utilizării confiscării extinse în Raportul MCV din ianuarie 2014, p. 10., Mențiune expresă privind managementul judiciar în cuprinsul Raportului MCV din ianuarie 2014, p. 6 , reiterată și în documentul tehnic de însoțire a Raportului MCV din ianuarie 2014, p. 14. Recomandare expresă privind echiparea managementului judiciar cu instrumentele electronice necesare pentru funcționarea sistemului de justiție, în Raportul MCV din ianuarie 2014, p. 13  , recomandări JFR privind managementul strategic, mențiunea MCV privind managementul judiciar, recomandarea MCV privind echiparea managementului judiciar cu instrumente electronice adecvate (măsuri convergente), Mențiune privind sistemul de video-conferință din documentul tehnic de însoțire a Raportului MCV din iulie 2014, p. 9 , Mențiune privind dezvoltarea de sisteme IT din documentul tehnic de însoțire a Raportului MCV din iulie 2014, p. 16 .</w:t>
      </w:r>
    </w:p>
  </w:footnote>
  <w:footnote w:id="10">
    <w:p w:rsidR="004C63F1" w:rsidRPr="004C63F1" w:rsidRDefault="004C63F1" w:rsidP="0010236C">
      <w:pPr>
        <w:pStyle w:val="FootnoteText"/>
        <w:spacing w:after="120" w:line="240" w:lineRule="auto"/>
        <w:rPr>
          <w:rFonts w:ascii="Times New Roman" w:hAnsi="Times New Roman"/>
          <w:sz w:val="16"/>
          <w:szCs w:val="16"/>
        </w:rPr>
      </w:pPr>
      <w:r w:rsidRPr="004C63F1">
        <w:rPr>
          <w:rStyle w:val="FootnoteReference"/>
          <w:rFonts w:ascii="Times New Roman" w:hAnsi="Times New Roman"/>
          <w:sz w:val="16"/>
          <w:szCs w:val="16"/>
        </w:rPr>
        <w:footnoteRef/>
      </w:r>
      <w:r w:rsidRPr="004C63F1">
        <w:rPr>
          <w:rFonts w:ascii="Times New Roman" w:hAnsi="Times New Roman"/>
          <w:sz w:val="16"/>
          <w:szCs w:val="16"/>
        </w:rPr>
        <w:t xml:space="preserve"> A se vedea recomandările exprese privind formarea profesională</w:t>
      </w:r>
      <w:r w:rsidRPr="004C63F1">
        <w:rPr>
          <w:rFonts w:ascii="Times New Roman" w:hAnsi="Times New Roman"/>
          <w:sz w:val="16"/>
          <w:szCs w:val="16"/>
          <w:lang w:val="en-US"/>
        </w:rPr>
        <w:t>:</w:t>
      </w:r>
      <w:r w:rsidRPr="004C63F1">
        <w:rPr>
          <w:rFonts w:ascii="Times New Roman" w:hAnsi="Times New Roman"/>
          <w:sz w:val="16"/>
          <w:szCs w:val="16"/>
        </w:rPr>
        <w:t xml:space="preserve"> recomandări exprese privind unificarea jurisprudenței în Raportul MCV din iulie 2012, p. 21;  Mențiune expresă privind jurisprudența neunitară în Raportul MCV din ianuarie 2014, p. 5 ; Recomandări exprese privind combaterea corupției, criminalitatea organizată, recuperarea creanțelor, aplicarea confiscării extinse, achizițiile publice în Raportul MCV din iulie 2012, p. 22-23  și în Raportul MCV din ianuarie 2014, p. 14 .</w:t>
      </w:r>
    </w:p>
  </w:footnote>
  <w:footnote w:id="11">
    <w:p w:rsidR="004C63F1" w:rsidRPr="004C63F1" w:rsidRDefault="004C63F1" w:rsidP="0010236C">
      <w:pPr>
        <w:pStyle w:val="FootnoteText"/>
        <w:spacing w:after="120" w:line="240" w:lineRule="auto"/>
        <w:rPr>
          <w:rFonts w:ascii="Times New Roman" w:hAnsi="Times New Roman"/>
          <w:sz w:val="16"/>
          <w:szCs w:val="16"/>
          <w:lang w:val="en-US"/>
        </w:rPr>
      </w:pPr>
      <w:r w:rsidRPr="004C63F1">
        <w:rPr>
          <w:rStyle w:val="FootnoteReference"/>
          <w:rFonts w:ascii="Times New Roman" w:hAnsi="Times New Roman"/>
          <w:sz w:val="16"/>
          <w:szCs w:val="16"/>
        </w:rPr>
        <w:footnoteRef/>
      </w:r>
      <w:r w:rsidRPr="004C63F1">
        <w:rPr>
          <w:rFonts w:ascii="Times New Roman" w:hAnsi="Times New Roman"/>
          <w:sz w:val="16"/>
          <w:szCs w:val="16"/>
        </w:rPr>
        <w:t xml:space="preserve"> Recomandare expresă privind publicarea de ghiduri în vederea eficientizării activității judiciare în Raportul MCV din iulie 2012, p. 22 .</w:t>
      </w:r>
    </w:p>
  </w:footnote>
  <w:footnote w:id="12">
    <w:p w:rsidR="004C63F1" w:rsidRPr="004C63F1" w:rsidRDefault="004C63F1" w:rsidP="0010236C">
      <w:pPr>
        <w:pStyle w:val="FootnoteText"/>
        <w:spacing w:after="120" w:line="240" w:lineRule="auto"/>
        <w:rPr>
          <w:rFonts w:ascii="Times New Roman" w:hAnsi="Times New Roman"/>
          <w:sz w:val="16"/>
          <w:szCs w:val="16"/>
          <w:lang w:val="en-US"/>
        </w:rPr>
      </w:pPr>
      <w:r w:rsidRPr="004C63F1">
        <w:rPr>
          <w:rStyle w:val="FootnoteReference"/>
          <w:rFonts w:ascii="Times New Roman" w:hAnsi="Times New Roman"/>
          <w:sz w:val="16"/>
          <w:szCs w:val="16"/>
        </w:rPr>
        <w:footnoteRef/>
      </w:r>
      <w:r w:rsidRPr="004C63F1">
        <w:rPr>
          <w:rFonts w:ascii="Times New Roman" w:hAnsi="Times New Roman"/>
          <w:sz w:val="16"/>
          <w:szCs w:val="16"/>
        </w:rPr>
        <w:t xml:space="preserve"> Recomandări exprese privind publicarea jurisprudenței în Raportul MCV din iulie 2012, p. 21  și în Raportul MCV din ianuarie 2014, p. 13;</w:t>
      </w:r>
      <w:r w:rsidRPr="004C63F1">
        <w:rPr>
          <w:rFonts w:ascii="Times New Roman" w:hAnsi="Times New Roman"/>
          <w:sz w:val="16"/>
          <w:szCs w:val="16"/>
        </w:rPr>
        <w:tab/>
        <w:t>Mențiune expresă privind publicarea jurisprudenței în Raportul MCV din ianuarie 2013, p. 9</w:t>
      </w:r>
    </w:p>
  </w:footnote>
  <w:footnote w:id="13">
    <w:p w:rsidR="004C63F1" w:rsidRPr="004C63F1" w:rsidRDefault="004C63F1" w:rsidP="0010236C">
      <w:pPr>
        <w:pStyle w:val="FootnoteText"/>
        <w:spacing w:after="120" w:line="240" w:lineRule="auto"/>
        <w:rPr>
          <w:rFonts w:ascii="Times New Roman" w:hAnsi="Times New Roman"/>
          <w:sz w:val="16"/>
          <w:szCs w:val="16"/>
          <w:lang w:val="en-US"/>
        </w:rPr>
      </w:pPr>
      <w:r w:rsidRPr="004C63F1">
        <w:rPr>
          <w:rStyle w:val="FootnoteReference"/>
          <w:rFonts w:ascii="Times New Roman" w:hAnsi="Times New Roman"/>
          <w:sz w:val="16"/>
          <w:szCs w:val="16"/>
        </w:rPr>
        <w:footnoteRef/>
      </w:r>
      <w:r w:rsidRPr="004C63F1">
        <w:rPr>
          <w:rFonts w:ascii="Times New Roman" w:hAnsi="Times New Roman"/>
          <w:sz w:val="16"/>
          <w:szCs w:val="16"/>
        </w:rPr>
        <w:t xml:space="preserve"> Recomandare expresă privind sondajele/ analizele de sistem în Raportul MCV din ianuarie 2014, p. 13; Mențiune expresă privind sondajele/ analizele de sistem în cuprinsul Raportului MCV din ianuarie 2014, p. 6 , reiterată și în documentul tehnic de însoțire a Raportului MCV din ianuarie 2014, p. 14.</w:t>
      </w:r>
    </w:p>
  </w:footnote>
  <w:footnote w:id="14">
    <w:p w:rsidR="004C63F1" w:rsidRPr="004C63F1" w:rsidRDefault="004C63F1" w:rsidP="0010236C">
      <w:pPr>
        <w:pStyle w:val="FootnoteText"/>
        <w:spacing w:after="120" w:line="240" w:lineRule="auto"/>
        <w:rPr>
          <w:rFonts w:ascii="Times New Roman" w:hAnsi="Times New Roman"/>
          <w:sz w:val="16"/>
          <w:szCs w:val="16"/>
          <w:lang w:val="en-US"/>
        </w:rPr>
      </w:pPr>
      <w:r w:rsidRPr="004C63F1">
        <w:rPr>
          <w:rStyle w:val="FootnoteReference"/>
          <w:rFonts w:ascii="Times New Roman" w:hAnsi="Times New Roman"/>
          <w:sz w:val="16"/>
          <w:szCs w:val="16"/>
        </w:rPr>
        <w:footnoteRef/>
      </w:r>
      <w:r w:rsidRPr="004C63F1">
        <w:rPr>
          <w:rFonts w:ascii="Times New Roman" w:hAnsi="Times New Roman"/>
          <w:sz w:val="16"/>
          <w:szCs w:val="16"/>
        </w:rPr>
        <w:t xml:space="preserve"> Recomandare expresă privind executarea hotărârilor judecătorești în Raportul MCV din ianuarie 2014, p. 13</w:t>
      </w:r>
    </w:p>
  </w:footnote>
  <w:footnote w:id="15">
    <w:p w:rsidR="004C63F1" w:rsidRPr="004C63F1" w:rsidRDefault="004C63F1" w:rsidP="0010236C">
      <w:pPr>
        <w:pStyle w:val="FootnoteText"/>
        <w:spacing w:after="120" w:line="240" w:lineRule="auto"/>
        <w:rPr>
          <w:rFonts w:ascii="Times New Roman" w:hAnsi="Times New Roman"/>
          <w:sz w:val="16"/>
          <w:szCs w:val="16"/>
          <w:lang w:val="en-US"/>
        </w:rPr>
      </w:pPr>
      <w:r w:rsidRPr="004C63F1">
        <w:rPr>
          <w:rStyle w:val="FootnoteReference"/>
          <w:rFonts w:ascii="Times New Roman" w:hAnsi="Times New Roman"/>
          <w:sz w:val="16"/>
          <w:szCs w:val="16"/>
        </w:rPr>
        <w:footnoteRef/>
      </w:r>
      <w:r w:rsidRPr="004C63F1">
        <w:rPr>
          <w:rFonts w:ascii="Times New Roman" w:hAnsi="Times New Roman"/>
          <w:sz w:val="16"/>
          <w:szCs w:val="16"/>
        </w:rPr>
        <w:t xml:space="preserve"> Mențiune referitoare la mediere în documentul tehnic de însoțire a Raportului MCV din ianuarie 2014, p. 15</w:t>
      </w:r>
    </w:p>
  </w:footnote>
  <w:footnote w:id="16">
    <w:p w:rsidR="004C63F1" w:rsidRPr="004C63F1" w:rsidRDefault="004C63F1" w:rsidP="0010236C">
      <w:pPr>
        <w:pStyle w:val="FootnoteText"/>
        <w:spacing w:after="120" w:line="240" w:lineRule="auto"/>
        <w:rPr>
          <w:rFonts w:ascii="Times New Roman" w:hAnsi="Times New Roman"/>
          <w:sz w:val="16"/>
          <w:szCs w:val="16"/>
        </w:rPr>
      </w:pPr>
      <w:r w:rsidRPr="004C63F1">
        <w:rPr>
          <w:rStyle w:val="FootnoteReference"/>
          <w:rFonts w:ascii="Times New Roman" w:hAnsi="Times New Roman"/>
          <w:sz w:val="16"/>
          <w:szCs w:val="16"/>
        </w:rPr>
        <w:footnoteRef/>
      </w:r>
      <w:r w:rsidRPr="004C63F1">
        <w:rPr>
          <w:rFonts w:ascii="Times New Roman" w:hAnsi="Times New Roman"/>
          <w:sz w:val="16"/>
          <w:szCs w:val="16"/>
        </w:rPr>
        <w:t xml:space="preserve"> Recomandări exprese privind integritatea sistemului judiciar în Raportul MCV din iulie 2012, p. 21 </w:t>
      </w:r>
      <w:r w:rsidRPr="004C63F1">
        <w:rPr>
          <w:rFonts w:ascii="Times New Roman" w:hAnsi="Times New Roman"/>
          <w:sz w:val="16"/>
          <w:szCs w:val="16"/>
          <w:lang w:val="en-US"/>
        </w:rPr>
        <w:t xml:space="preserve">; </w:t>
      </w:r>
      <w:r w:rsidRPr="004C63F1">
        <w:rPr>
          <w:rFonts w:ascii="Times New Roman" w:hAnsi="Times New Roman"/>
          <w:sz w:val="16"/>
          <w:szCs w:val="16"/>
        </w:rPr>
        <w:t>Mențiune expresă privind necesitatea asigurării resurselor adecvate pentru implementarea SNA (implicit aspectele de integritate privind sistemul judiciar), p. 11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507DA8"/>
    <w:multiLevelType w:val="hybridMultilevel"/>
    <w:tmpl w:val="BD30866E"/>
    <w:lvl w:ilvl="0" w:tplc="04180001">
      <w:start w:val="1"/>
      <w:numFmt w:val="bullet"/>
      <w:lvlText w:val=""/>
      <w:lvlJc w:val="left"/>
      <w:pPr>
        <w:ind w:left="1256" w:hanging="360"/>
      </w:pPr>
      <w:rPr>
        <w:rFonts w:ascii="Symbol" w:hAnsi="Symbol" w:hint="default"/>
      </w:rPr>
    </w:lvl>
    <w:lvl w:ilvl="1" w:tplc="04180003" w:tentative="1">
      <w:start w:val="1"/>
      <w:numFmt w:val="bullet"/>
      <w:lvlText w:val="o"/>
      <w:lvlJc w:val="left"/>
      <w:pPr>
        <w:ind w:left="1976" w:hanging="360"/>
      </w:pPr>
      <w:rPr>
        <w:rFonts w:ascii="Courier New" w:hAnsi="Courier New" w:cs="Courier New" w:hint="default"/>
      </w:rPr>
    </w:lvl>
    <w:lvl w:ilvl="2" w:tplc="04180005" w:tentative="1">
      <w:start w:val="1"/>
      <w:numFmt w:val="bullet"/>
      <w:lvlText w:val=""/>
      <w:lvlJc w:val="left"/>
      <w:pPr>
        <w:ind w:left="2696" w:hanging="360"/>
      </w:pPr>
      <w:rPr>
        <w:rFonts w:ascii="Wingdings" w:hAnsi="Wingdings" w:hint="default"/>
      </w:rPr>
    </w:lvl>
    <w:lvl w:ilvl="3" w:tplc="04180001" w:tentative="1">
      <w:start w:val="1"/>
      <w:numFmt w:val="bullet"/>
      <w:lvlText w:val=""/>
      <w:lvlJc w:val="left"/>
      <w:pPr>
        <w:ind w:left="3416" w:hanging="360"/>
      </w:pPr>
      <w:rPr>
        <w:rFonts w:ascii="Symbol" w:hAnsi="Symbol" w:hint="default"/>
      </w:rPr>
    </w:lvl>
    <w:lvl w:ilvl="4" w:tplc="04180003" w:tentative="1">
      <w:start w:val="1"/>
      <w:numFmt w:val="bullet"/>
      <w:lvlText w:val="o"/>
      <w:lvlJc w:val="left"/>
      <w:pPr>
        <w:ind w:left="4136" w:hanging="360"/>
      </w:pPr>
      <w:rPr>
        <w:rFonts w:ascii="Courier New" w:hAnsi="Courier New" w:cs="Courier New" w:hint="default"/>
      </w:rPr>
    </w:lvl>
    <w:lvl w:ilvl="5" w:tplc="04180005" w:tentative="1">
      <w:start w:val="1"/>
      <w:numFmt w:val="bullet"/>
      <w:lvlText w:val=""/>
      <w:lvlJc w:val="left"/>
      <w:pPr>
        <w:ind w:left="4856" w:hanging="360"/>
      </w:pPr>
      <w:rPr>
        <w:rFonts w:ascii="Wingdings" w:hAnsi="Wingdings" w:hint="default"/>
      </w:rPr>
    </w:lvl>
    <w:lvl w:ilvl="6" w:tplc="04180001" w:tentative="1">
      <w:start w:val="1"/>
      <w:numFmt w:val="bullet"/>
      <w:lvlText w:val=""/>
      <w:lvlJc w:val="left"/>
      <w:pPr>
        <w:ind w:left="5576" w:hanging="360"/>
      </w:pPr>
      <w:rPr>
        <w:rFonts w:ascii="Symbol" w:hAnsi="Symbol" w:hint="default"/>
      </w:rPr>
    </w:lvl>
    <w:lvl w:ilvl="7" w:tplc="04180003" w:tentative="1">
      <w:start w:val="1"/>
      <w:numFmt w:val="bullet"/>
      <w:lvlText w:val="o"/>
      <w:lvlJc w:val="left"/>
      <w:pPr>
        <w:ind w:left="6296" w:hanging="360"/>
      </w:pPr>
      <w:rPr>
        <w:rFonts w:ascii="Courier New" w:hAnsi="Courier New" w:cs="Courier New" w:hint="default"/>
      </w:rPr>
    </w:lvl>
    <w:lvl w:ilvl="8" w:tplc="04180005" w:tentative="1">
      <w:start w:val="1"/>
      <w:numFmt w:val="bullet"/>
      <w:lvlText w:val=""/>
      <w:lvlJc w:val="left"/>
      <w:pPr>
        <w:ind w:left="7016" w:hanging="360"/>
      </w:pPr>
      <w:rPr>
        <w:rFonts w:ascii="Wingdings" w:hAnsi="Wingdings" w:hint="default"/>
      </w:rPr>
    </w:lvl>
  </w:abstractNum>
  <w:abstractNum w:abstractNumId="1">
    <w:nsid w:val="7ED87CB8"/>
    <w:multiLevelType w:val="hybridMultilevel"/>
    <w:tmpl w:val="DC009CDC"/>
    <w:lvl w:ilvl="0" w:tplc="63FE831E">
      <w:start w:val="1"/>
      <w:numFmt w:val="bullet"/>
      <w:lvlText w:val=""/>
      <w:lvlJc w:val="left"/>
      <w:pPr>
        <w:ind w:left="2421" w:hanging="360"/>
      </w:pPr>
      <w:rPr>
        <w:rFonts w:ascii="Symbol" w:hAnsi="Symbol" w:hint="default"/>
      </w:rPr>
    </w:lvl>
    <w:lvl w:ilvl="1" w:tplc="0409000D">
      <w:start w:val="1"/>
      <w:numFmt w:val="bullet"/>
      <w:lvlText w:val=""/>
      <w:lvlJc w:val="left"/>
      <w:pPr>
        <w:ind w:left="3141" w:hanging="360"/>
      </w:pPr>
      <w:rPr>
        <w:rFonts w:ascii="Wingdings" w:hAnsi="Wingdings" w:hint="default"/>
      </w:rPr>
    </w:lvl>
    <w:lvl w:ilvl="2" w:tplc="04180005" w:tentative="1">
      <w:start w:val="1"/>
      <w:numFmt w:val="bullet"/>
      <w:lvlText w:val=""/>
      <w:lvlJc w:val="left"/>
      <w:pPr>
        <w:ind w:left="3861" w:hanging="360"/>
      </w:pPr>
      <w:rPr>
        <w:rFonts w:ascii="Wingdings" w:hAnsi="Wingdings" w:hint="default"/>
      </w:rPr>
    </w:lvl>
    <w:lvl w:ilvl="3" w:tplc="04180001" w:tentative="1">
      <w:start w:val="1"/>
      <w:numFmt w:val="bullet"/>
      <w:lvlText w:val=""/>
      <w:lvlJc w:val="left"/>
      <w:pPr>
        <w:ind w:left="4581" w:hanging="360"/>
      </w:pPr>
      <w:rPr>
        <w:rFonts w:ascii="Symbol" w:hAnsi="Symbol" w:hint="default"/>
      </w:rPr>
    </w:lvl>
    <w:lvl w:ilvl="4" w:tplc="04180003" w:tentative="1">
      <w:start w:val="1"/>
      <w:numFmt w:val="bullet"/>
      <w:lvlText w:val="o"/>
      <w:lvlJc w:val="left"/>
      <w:pPr>
        <w:ind w:left="5301" w:hanging="360"/>
      </w:pPr>
      <w:rPr>
        <w:rFonts w:ascii="Courier New" w:hAnsi="Courier New" w:cs="Courier New" w:hint="default"/>
      </w:rPr>
    </w:lvl>
    <w:lvl w:ilvl="5" w:tplc="04180005" w:tentative="1">
      <w:start w:val="1"/>
      <w:numFmt w:val="bullet"/>
      <w:lvlText w:val=""/>
      <w:lvlJc w:val="left"/>
      <w:pPr>
        <w:ind w:left="6021" w:hanging="360"/>
      </w:pPr>
      <w:rPr>
        <w:rFonts w:ascii="Wingdings" w:hAnsi="Wingdings" w:hint="default"/>
      </w:rPr>
    </w:lvl>
    <w:lvl w:ilvl="6" w:tplc="04180001" w:tentative="1">
      <w:start w:val="1"/>
      <w:numFmt w:val="bullet"/>
      <w:lvlText w:val=""/>
      <w:lvlJc w:val="left"/>
      <w:pPr>
        <w:ind w:left="6741" w:hanging="360"/>
      </w:pPr>
      <w:rPr>
        <w:rFonts w:ascii="Symbol" w:hAnsi="Symbol" w:hint="default"/>
      </w:rPr>
    </w:lvl>
    <w:lvl w:ilvl="7" w:tplc="04180003" w:tentative="1">
      <w:start w:val="1"/>
      <w:numFmt w:val="bullet"/>
      <w:lvlText w:val="o"/>
      <w:lvlJc w:val="left"/>
      <w:pPr>
        <w:ind w:left="7461" w:hanging="360"/>
      </w:pPr>
      <w:rPr>
        <w:rFonts w:ascii="Courier New" w:hAnsi="Courier New" w:cs="Courier New" w:hint="default"/>
      </w:rPr>
    </w:lvl>
    <w:lvl w:ilvl="8" w:tplc="04180005" w:tentative="1">
      <w:start w:val="1"/>
      <w:numFmt w:val="bullet"/>
      <w:lvlText w:val=""/>
      <w:lvlJc w:val="left"/>
      <w:pPr>
        <w:ind w:left="8181"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7"/>
  <w:proofState w:spelling="clean" w:grammar="clean"/>
  <w:defaultTabStop w:val="708"/>
  <w:hyphenationZone w:val="425"/>
  <w:characterSpacingControl w:val="doNotCompress"/>
  <w:footnotePr>
    <w:footnote w:id="-1"/>
    <w:footnote w:id="0"/>
  </w:footnotePr>
  <w:endnotePr>
    <w:endnote w:id="-1"/>
    <w:endnote w:id="0"/>
  </w:endnotePr>
  <w:compat/>
  <w:rsids>
    <w:rsidRoot w:val="00B33BF9"/>
    <w:rsid w:val="0010236C"/>
    <w:rsid w:val="004C63F1"/>
    <w:rsid w:val="006F5297"/>
    <w:rsid w:val="00837F36"/>
    <w:rsid w:val="00975456"/>
    <w:rsid w:val="009B41E1"/>
    <w:rsid w:val="00B33BF9"/>
    <w:rsid w:val="00B43CB5"/>
    <w:rsid w:val="00BD3B40"/>
    <w:rsid w:val="00C6259A"/>
    <w:rsid w:val="00CE093F"/>
    <w:rsid w:val="00F903A1"/>
    <w:rsid w:val="00FC74BE"/>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3F1"/>
    <w:pPr>
      <w:spacing w:after="160" w:line="259" w:lineRule="auto"/>
    </w:pPr>
    <w:rPr>
      <w:rFonts w:eastAsia="MS Mincho"/>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C63F1"/>
    <w:pPr>
      <w:tabs>
        <w:tab w:val="center" w:pos="4535"/>
        <w:tab w:val="right" w:pos="9071"/>
        <w:tab w:val="right" w:pos="9921"/>
      </w:tabs>
      <w:spacing w:before="360" w:after="0" w:line="240" w:lineRule="auto"/>
      <w:ind w:left="-850" w:right="-850"/>
    </w:pPr>
    <w:rPr>
      <w:rFonts w:ascii="Times New Roman" w:eastAsia="Calibri" w:hAnsi="Times New Roman" w:cs="Times New Roman"/>
      <w:sz w:val="24"/>
      <w:szCs w:val="20"/>
      <w:lang w:val="en-GB" w:eastAsia="ro-RO"/>
    </w:rPr>
  </w:style>
  <w:style w:type="character" w:customStyle="1" w:styleId="FooterChar">
    <w:name w:val="Footer Char"/>
    <w:basedOn w:val="DefaultParagraphFont"/>
    <w:link w:val="Footer"/>
    <w:uiPriority w:val="99"/>
    <w:rsid w:val="004C63F1"/>
    <w:rPr>
      <w:rFonts w:ascii="Times New Roman" w:eastAsia="Calibri" w:hAnsi="Times New Roman" w:cs="Times New Roman"/>
      <w:sz w:val="24"/>
      <w:szCs w:val="20"/>
      <w:lang w:val="en-GB" w:eastAsia="ro-RO"/>
    </w:rPr>
  </w:style>
  <w:style w:type="paragraph" w:styleId="FootnoteText">
    <w:name w:val="footnote text"/>
    <w:aliases w:val="Footnote TextCSR,Fußnotentext Char,Footnote text,fn,Schriftart: 9 pt,Schriftart: 10 pt,Schriftart: 8 pt,WB-Fußnotentext,Footnotes,Footnote ak,Note de bas de page Car1,Note de bas de page Car Car,Car Car Car,Car Car1,Fußnot,Char1,Podrozdzi"/>
    <w:basedOn w:val="Normal"/>
    <w:link w:val="FootnoteTextChar"/>
    <w:uiPriority w:val="99"/>
    <w:unhideWhenUsed/>
    <w:rsid w:val="004C63F1"/>
    <w:pPr>
      <w:spacing w:after="200" w:line="276" w:lineRule="auto"/>
    </w:pPr>
    <w:rPr>
      <w:rFonts w:ascii="Calibri" w:eastAsia="Times New Roman" w:hAnsi="Calibri" w:cs="Times New Roman"/>
      <w:sz w:val="20"/>
      <w:szCs w:val="20"/>
      <w:lang w:val="ro-RO" w:eastAsia="ro-RO"/>
    </w:rPr>
  </w:style>
  <w:style w:type="character" w:customStyle="1" w:styleId="FootnoteTextChar">
    <w:name w:val="Footnote Text Char"/>
    <w:aliases w:val="Footnote TextCSR Char,Fußnotentext Char Char,Footnote text Char,fn Char,Schriftart: 9 pt Char,Schriftart: 10 pt Char,Schriftart: 8 pt Char,WB-Fußnotentext Char,Footnotes Char,Footnote ak Char,Note de bas de page Car1 Char,Fußnot Char"/>
    <w:basedOn w:val="DefaultParagraphFont"/>
    <w:link w:val="FootnoteText"/>
    <w:uiPriority w:val="99"/>
    <w:rsid w:val="004C63F1"/>
    <w:rPr>
      <w:rFonts w:ascii="Calibri" w:eastAsia="Times New Roman" w:hAnsi="Calibri" w:cs="Times New Roman"/>
      <w:sz w:val="20"/>
      <w:szCs w:val="20"/>
      <w:lang w:eastAsia="ro-RO"/>
    </w:rPr>
  </w:style>
  <w:style w:type="character" w:styleId="FootnoteReference">
    <w:name w:val="footnote reference"/>
    <w:aliases w:val="SUPERS,Footnote reference number,Footnote symbol,note TESI,-E Fußnotenzeichen,number,BVI fnr,Footnote,Footnote Reference Superscript,(Footnote Reference),EN Footnote Reference,Voetnootverwijzing,Times 10 Point,Exposant 3 Point,R,ftref"/>
    <w:link w:val="numberCharCar"/>
    <w:uiPriority w:val="99"/>
    <w:unhideWhenUsed/>
    <w:rsid w:val="004C63F1"/>
    <w:rPr>
      <w:vertAlign w:val="superscript"/>
    </w:rPr>
  </w:style>
  <w:style w:type="paragraph" w:customStyle="1" w:styleId="numberCharCar">
    <w:name w:val="number Char Car"/>
    <w:aliases w:val="BVI fnr Char1 Car,Footnote symbol Char1 Car,EN Footnote Reference Char Car,Times 10 Point Char Car,Exposant 3 Point Char Car,Footnote reference number Char Car,note TESI Char Car"/>
    <w:basedOn w:val="Normal"/>
    <w:next w:val="Normal"/>
    <w:link w:val="FootnoteReference"/>
    <w:uiPriority w:val="99"/>
    <w:rsid w:val="004C63F1"/>
    <w:pPr>
      <w:spacing w:line="240" w:lineRule="exact"/>
    </w:pPr>
    <w:rPr>
      <w:rFonts w:eastAsiaTheme="minorHAnsi"/>
      <w:vertAlign w:val="superscript"/>
      <w:lang w:val="ro-RO"/>
    </w:rPr>
  </w:style>
  <w:style w:type="paragraph" w:styleId="Title">
    <w:name w:val="Title"/>
    <w:basedOn w:val="Normal"/>
    <w:next w:val="Normal"/>
    <w:link w:val="TitleChar"/>
    <w:uiPriority w:val="10"/>
    <w:qFormat/>
    <w:rsid w:val="00C6259A"/>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TitleChar">
    <w:name w:val="Title Char"/>
    <w:basedOn w:val="DefaultParagraphFont"/>
    <w:link w:val="Title"/>
    <w:uiPriority w:val="10"/>
    <w:rsid w:val="00C6259A"/>
    <w:rPr>
      <w:rFonts w:ascii="Cambria" w:eastAsia="Times New Roman" w:hAnsi="Cambria" w:cs="Times New Roman"/>
      <w:color w:val="17365D"/>
      <w:spacing w:val="5"/>
      <w:kern w:val="28"/>
      <w:sz w:val="52"/>
      <w:szCs w:val="52"/>
      <w:lang w:val="en-US"/>
    </w:rPr>
  </w:style>
  <w:style w:type="paragraph" w:styleId="Subtitle">
    <w:name w:val="Subtitle"/>
    <w:basedOn w:val="Normal"/>
    <w:next w:val="Normal"/>
    <w:link w:val="SubtitleChar"/>
    <w:uiPriority w:val="11"/>
    <w:qFormat/>
    <w:rsid w:val="00C6259A"/>
    <w:pPr>
      <w:numPr>
        <w:ilvl w:val="1"/>
      </w:numPr>
      <w:spacing w:after="0" w:line="240" w:lineRule="auto"/>
    </w:pPr>
    <w:rPr>
      <w:rFonts w:ascii="Cambria" w:eastAsia="Times New Roman" w:hAnsi="Cambria" w:cs="Times New Roman"/>
      <w:i/>
      <w:iCs/>
      <w:color w:val="4F81BD"/>
      <w:spacing w:val="15"/>
      <w:sz w:val="24"/>
      <w:szCs w:val="24"/>
    </w:rPr>
  </w:style>
  <w:style w:type="character" w:customStyle="1" w:styleId="SubtitleChar">
    <w:name w:val="Subtitle Char"/>
    <w:basedOn w:val="DefaultParagraphFont"/>
    <w:link w:val="Subtitle"/>
    <w:uiPriority w:val="11"/>
    <w:rsid w:val="00C6259A"/>
    <w:rPr>
      <w:rFonts w:ascii="Cambria" w:eastAsia="Times New Roman" w:hAnsi="Cambria" w:cs="Times New Roman"/>
      <w:i/>
      <w:iCs/>
      <w:color w:val="4F81BD"/>
      <w:spacing w:val="15"/>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95B374-1001-45AF-B8B0-D9F3520B8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713</Words>
  <Characters>4138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claudia.vasilca</dc:creator>
  <cp:lastModifiedBy>claudia.vasilca</cp:lastModifiedBy>
  <cp:revision>6</cp:revision>
  <dcterms:created xsi:type="dcterms:W3CDTF">2014-11-20T14:07:00Z</dcterms:created>
  <dcterms:modified xsi:type="dcterms:W3CDTF">2014-12-05T07:14:00Z</dcterms:modified>
</cp:coreProperties>
</file>